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甘肃河西地区荒漠植物种群繁殖对策数据集（2004-2006）</w:t>
      </w:r>
    </w:p>
    <w:p>
      <w:r>
        <w:rPr>
          <w:sz w:val="22"/>
        </w:rPr>
        <w:t>英文标题：Dataset of reproductive strategies of desert plant population in Hexi region of Gansu province (2004-2006)</w:t>
      </w:r>
    </w:p>
    <w:p>
      <w:r>
        <w:rPr>
          <w:sz w:val="32"/>
        </w:rPr>
        <w:t>1、摘要</w:t>
      </w:r>
    </w:p>
    <w:p>
      <w:pPr>
        <w:ind w:firstLine="432"/>
      </w:pPr>
      <w:r>
        <w:rPr>
          <w:sz w:val="22"/>
        </w:rPr>
        <w:t>甘肃河西地区荒漠植物种群繁殖对策的研究项目属于国家自然科学基金“中国西部环境与生态科学”重大研究计划，负责人为兰州大学安黎哲教授，项目运行时间为2004.1-2007.12。</w:t>
        <w:br/>
        <w:t>该项目汇交数据：</w:t>
        <w:br/>
        <w:t xml:space="preserve">1. 超干保存对种子的影响 </w:t>
        <w:br/>
        <w:t xml:space="preserve">该数据为Word格式，里边包含很多分析图，对霸王种子和黄花补血草种子分别采用45℃、室温和15℃保存下的活力变化对比研究，分别采用缓湿处理、人工老化和超干处理对电导率和种子生理活性指标等影响的对比研究。具体如下： </w:t>
        <w:br/>
        <w:t xml:space="preserve">45℃保存霸王种子活力变化 </w:t>
        <w:br/>
        <w:t xml:space="preserve">  图1 霸王种子保存在45℃的发芽率（%） 、 图2 霸王种子保存在45℃的发芽指数、  图3 霸王种子保存在45℃的活力指数 </w:t>
        <w:br/>
        <w:t xml:space="preserve">室温保存霸王种子活力变化 </w:t>
        <w:br/>
        <w:t xml:space="preserve">  图4 霸王种子保存在室温的发芽率（%） 、 图5 霸王种子保存在室温的发芽指数 、 图6 霸王种子保存在室温的活力指数 </w:t>
        <w:br/>
        <w:t xml:space="preserve">15℃保存霸王种子活力变化 </w:t>
        <w:br/>
        <w:t xml:space="preserve">  图7 霸王种子保存在15℃的发芽率（%） 、 图8 霸王种子保存在15℃的发芽指数 、 图9 霸王种子保存在15℃的活力指数 </w:t>
        <w:br/>
        <w:t xml:space="preserve">45℃保存黄花补血草种子活力变化 </w:t>
        <w:br/>
        <w:t xml:space="preserve">  图10 黄花补血草种子保存在45℃的发芽率（%） 、 图11 黄花补血草种子保存在45℃的发芽指数 、图12 黄花补血草种子保存在45℃的活力指数 </w:t>
        <w:br/>
        <w:t xml:space="preserve">室温保存黄花补血草种子活力变化 </w:t>
        <w:br/>
        <w:t xml:space="preserve">  图13 黄花补血草种子保存在室温的发芽率（%） 、 图14 黄花补血草种子保存在室温的发芽指数 、 图15 黄花补血草种子保存在室温的活力指数 </w:t>
        <w:br/>
        <w:t xml:space="preserve">15℃保存黄花补血草种子活力变化 </w:t>
        <w:br/>
        <w:t xml:space="preserve">  图16 黄花补血草种子保存在15℃的发芽率（%） 、 图17 黄花补血草种子保存在15℃的发芽指数 、图18 黄花补血草种子保存在15℃的活力指数 </w:t>
        <w:br/>
        <w:t xml:space="preserve">缓湿处理对种子相对电导率的影响 </w:t>
        <w:br/>
        <w:t xml:space="preserve">  图28 霸王种子未经缓湿处理相对电导率的变化 、图29 霸王种子经缓湿处理相对电导率的变化 、 图31 黄花补血草种子经缓湿处理相对电导率的变化 </w:t>
        <w:br/>
        <w:t xml:space="preserve">人工老化处理对霸王种子的影响 </w:t>
        <w:br/>
        <w:t xml:space="preserve">  图34 人工老化处理对霸王种子发芽率的影响 、图35 人工老化处理对霸王种子活力指数的影响 、 图36 人工老化处理对霸王种子相对电导率的影响 </w:t>
        <w:br/>
        <w:t xml:space="preserve">人工老化处理对黄花补血草种子的影响 </w:t>
        <w:br/>
        <w:t xml:space="preserve">  图37 人工老化处理对黄花补血草种子发芽率的影响 、 图38 人工老化处理对黄花补血草种子活力指数的影响 、 图39 人工老化处理对黄花补血草种子相对电导率的影响 </w:t>
        <w:br/>
        <w:t xml:space="preserve">人工老化处理15天后对种子醛类物质含量的影响 </w:t>
        <w:br/>
        <w:t xml:space="preserve">  图52 人工老化处理15天后对霸王种子醛类物质含量的影响 、 图53 人工老化处理15天后对黄花补血草种子醛类物质含量的影响 </w:t>
        <w:br/>
        <w:t xml:space="preserve">超干处理对种子生理活性指标的影响 </w:t>
        <w:br/>
        <w:t xml:space="preserve">  表31 超干处理对霸王种子生理活性指标的影响 </w:t>
        <w:br/>
        <w:t xml:space="preserve">  表32 超干处理对黄花补血草种子生理活性指标的影响 </w:t>
        <w:br/>
        <w:t>2.荒漠植物种皮微形态结构特征 （包括实验条件、种皮微结构电镜图片及分析 47种植物分布，种属，物种代码，种子长轴，短轴长度及重量列表、种皮元素成分表）word文档</w:t>
      </w:r>
    </w:p>
    <w:p>
      <w:r>
        <w:rPr>
          <w:sz w:val="32"/>
        </w:rPr>
        <w:t>2、关键词</w:t>
      </w:r>
    </w:p>
    <w:p>
      <w:pPr>
        <w:ind w:left="432"/>
      </w:pPr>
      <w:r>
        <w:rPr>
          <w:sz w:val="22"/>
        </w:rPr>
        <w:t>主题关键词：</w:t>
      </w:r>
      <w:r>
        <w:rPr>
          <w:sz w:val="22"/>
        </w:rPr>
        <w:t>沙漠/荒漠</w:t>
      </w:r>
      <w:r>
        <w:t>,</w:t>
      </w:r>
      <w:r>
        <w:rPr>
          <w:sz w:val="22"/>
        </w:rPr>
        <w:t>植被</w:t>
      </w:r>
      <w:r>
        <w:t>,</w:t>
      </w:r>
      <w:r>
        <w:rPr>
          <w:sz w:val="22"/>
        </w:rPr>
        <w:t>物种</w:t>
      </w:r>
      <w:r>
        <w:t>,</w:t>
      </w:r>
      <w:r>
        <w:rPr>
          <w:sz w:val="22"/>
        </w:rPr>
        <w:t>植被动态</w:t>
      </w:r>
      <w:r>
        <w:t>,</w:t>
      </w:r>
      <w:r>
        <w:rPr>
          <w:sz w:val="22"/>
        </w:rPr>
        <w:t>荒漠生态系统</w:t>
        <w:br/>
      </w:r>
      <w:r>
        <w:rPr>
          <w:sz w:val="22"/>
        </w:rPr>
        <w:t>学科关键词：</w:t>
      </w:r>
      <w:r>
        <w:rPr>
          <w:sz w:val="22"/>
        </w:rPr>
        <w:t>陆地表层</w:t>
        <w:br/>
      </w:r>
      <w:r>
        <w:rPr>
          <w:sz w:val="22"/>
        </w:rPr>
        <w:t>地点关键词：</w:t>
      </w:r>
      <w:r>
        <w:rPr>
          <w:sz w:val="22"/>
        </w:rPr>
        <w:t>甘肃省</w:t>
      </w:r>
      <w:r>
        <w:t xml:space="preserve">, </w:t>
      </w:r>
      <w:r>
        <w:rPr>
          <w:sz w:val="22"/>
        </w:rPr>
        <w:t>河西</w:t>
        <w:br/>
      </w:r>
      <w:r>
        <w:rPr>
          <w:sz w:val="22"/>
        </w:rPr>
        <w:t>时间关键词：</w:t>
      </w:r>
      <w:r>
        <w:rPr>
          <w:sz w:val="22"/>
        </w:rPr>
        <w:t>2004-2006</w:t>
      </w:r>
    </w:p>
    <w:p>
      <w:r>
        <w:rPr>
          <w:sz w:val="32"/>
        </w:rPr>
        <w:t>3、数据细节</w:t>
      </w:r>
    </w:p>
    <w:p>
      <w:pPr>
        <w:ind w:left="432"/>
      </w:pPr>
      <w:r>
        <w:rPr>
          <w:sz w:val="22"/>
        </w:rPr>
        <w:t>1.比例尺：None</w:t>
      </w:r>
    </w:p>
    <w:p>
      <w:pPr>
        <w:ind w:left="432"/>
      </w:pPr>
      <w:r>
        <w:rPr>
          <w:sz w:val="22"/>
        </w:rPr>
        <w:t>2.投影：None</w:t>
      </w:r>
    </w:p>
    <w:p>
      <w:pPr>
        <w:ind w:left="432"/>
      </w:pPr>
      <w:r>
        <w:rPr>
          <w:sz w:val="22"/>
        </w:rPr>
        <w:t>3.文件大小：4.66MB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北：42.88</w:t>
            </w:r>
          </w:p>
        </w:tc>
        <w:tc>
          <w:tcPr>
            <w:tcW w:type="dxa" w:w="2880"/>
          </w:tcPr>
          <w:p>
            <w:r>
              <w:t>-</w:t>
            </w:r>
          </w:p>
        </w:tc>
      </w:tr>
      <w:tr>
        <w:tc>
          <w:tcPr>
            <w:tcW w:type="dxa" w:w="2880"/>
          </w:tcPr>
          <w:p>
            <w:r>
              <w:t>西：92.73</w:t>
            </w:r>
          </w:p>
        </w:tc>
        <w:tc>
          <w:tcPr>
            <w:tcW w:type="dxa" w:w="2880"/>
          </w:tcPr>
          <w:p>
            <w:r>
              <w:t>-</w:t>
            </w:r>
          </w:p>
        </w:tc>
        <w:tc>
          <w:tcPr>
            <w:tcW w:type="dxa" w:w="2880"/>
          </w:tcPr>
          <w:p>
            <w:r>
              <w:t>东：108.8</w:t>
            </w:r>
          </w:p>
        </w:tc>
      </w:tr>
      <w:tr>
        <w:tc>
          <w:tcPr>
            <w:tcW w:type="dxa" w:w="2880"/>
          </w:tcPr>
          <w:p>
            <w:r>
              <w:t>-</w:t>
            </w:r>
          </w:p>
        </w:tc>
        <w:tc>
          <w:tcPr>
            <w:tcW w:type="dxa" w:w="2880"/>
          </w:tcPr>
          <w:p>
            <w:r>
              <w:t>南：35.57</w:t>
            </w:r>
          </w:p>
        </w:tc>
        <w:tc>
          <w:tcPr>
            <w:tcW w:type="dxa" w:w="2880"/>
          </w:tcPr>
          <w:p>
            <w:r>
              <w:t>-</w:t>
            </w:r>
          </w:p>
        </w:tc>
      </w:tr>
    </w:tbl>
    <w:p>
      <w:r>
        <w:rPr>
          <w:sz w:val="32"/>
        </w:rPr>
        <w:t>5、时间范围</w:t>
      </w:r>
      <w:r>
        <w:rPr>
          <w:sz w:val="22"/>
        </w:rPr>
        <w:t>2004-01-06 08:00:00+00:00</w:t>
      </w:r>
      <w:r>
        <w:rPr>
          <w:sz w:val="22"/>
        </w:rPr>
        <w:t>--</w:t>
      </w:r>
      <w:r>
        <w:rPr>
          <w:sz w:val="22"/>
        </w:rPr>
        <w:t>2007-01-05 19:59:59+00:00</w:t>
      </w:r>
    </w:p>
    <w:p>
      <w:r>
        <w:rPr>
          <w:sz w:val="32"/>
        </w:rPr>
        <w:t>6、引用方式</w:t>
      </w:r>
    </w:p>
    <w:p>
      <w:pPr>
        <w:ind w:left="432"/>
      </w:pPr>
      <w:r>
        <w:rPr>
          <w:sz w:val="22"/>
        </w:rPr>
        <w:t xml:space="preserve">数据的引用: </w:t>
      </w:r>
    </w:p>
    <w:p>
      <w:pPr>
        <w:ind w:left="432" w:firstLine="432"/>
      </w:pPr>
      <w:r>
        <w:t xml:space="preserve">安黎哲. 甘肃河西地区荒漠植物种群繁殖对策数据集（2004-2006）. 时空三极环境大数据平台, DOI:10.11888/Ecolo.tpdc.270629, CSTR:18406.11.Ecolo.tpdc.270629, </w:t>
      </w:r>
      <w:r>
        <w:t>2010</w:t>
      </w:r>
      <w:r>
        <w:t>.[</w:t>
      </w:r>
      <w:r>
        <w:t xml:space="preserve">AN  lizhe. Dataset of reproductive strategies of desert plant population in Hexi region of Gansu province (2004-2006). A Big Earth Data Platform for Three Poles, DOI:10.11888/Ecolo.tpdc.270629, CSTR:18406.11.Ecolo.tpdc.270629, </w:t>
      </w:r>
      <w:r>
        <w:t>2010</w:t>
      </w:r>
      <w:r>
        <w:rPr>
          <w:sz w:val="22"/>
        </w:rPr>
        <w:t>]</w:t>
      </w:r>
    </w:p>
    <w:p>
      <w:pPr>
        <w:ind w:left="432"/>
      </w:pPr>
      <w:r>
        <w:rPr>
          <w:sz w:val="22"/>
        </w:rPr>
        <w:t xml:space="preserve">文章的引用: </w:t>
      </w:r>
    </w:p>
    <w:p>
      <w:pPr>
        <w:ind w:left="864"/>
      </w:pPr>
      <w:r>
        <w:t>安黎哲等, 2009. 荒漠植物种子超干保存及种皮微结构特征信息,兰州大学</w:t>
        <w:br/>
        <w:br/>
      </w:r>
    </w:p>
    <w:p>
      <w:r>
        <w:rPr>
          <w:sz w:val="32"/>
        </w:rPr>
        <w:t>7、资助项目信息</w:t>
      </w:r>
    </w:p>
    <w:p>
      <w:r>
        <w:rPr>
          <w:sz w:val="32"/>
        </w:rPr>
        <w:t>8、数据资源提供者</w:t>
      </w:r>
    </w:p>
    <w:p>
      <w:pPr>
        <w:ind w:left="432"/>
      </w:pPr>
      <w:r>
        <w:rPr>
          <w:sz w:val="22"/>
        </w:rPr>
        <w:t xml:space="preserve">姓名: </w:t>
      </w:r>
      <w:r>
        <w:rPr>
          <w:sz w:val="22"/>
        </w:rPr>
        <w:t>安黎哲</w:t>
        <w:br/>
      </w:r>
      <w:r>
        <w:rPr>
          <w:sz w:val="22"/>
        </w:rPr>
        <w:t xml:space="preserve">单位: </w:t>
      </w:r>
      <w:r>
        <w:rPr>
          <w:sz w:val="22"/>
        </w:rPr>
        <w:t>兰州大学</w:t>
        <w:br/>
      </w:r>
      <w:r>
        <w:rPr>
          <w:sz w:val="22"/>
        </w:rPr>
        <w:t xml:space="preserve">电子邮件: </w:t>
      </w:r>
      <w:r>
        <w:rPr>
          <w:sz w:val="22"/>
        </w:rPr>
        <w:t>lizhean@lzu.edu.cn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