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旧石器-中石器时代青藏高原遗址调查与动植物资源利用数据集（2021）</w:t>
      </w:r>
    </w:p>
    <w:p>
      <w:r>
        <w:rPr>
          <w:sz w:val="22"/>
        </w:rPr>
        <w:t>英文标题：Archaeological site investigation and plant and animal resource utilization in the Tibet Plateau during the Paleolithic-Epipaleolithic  (2021)</w:t>
      </w:r>
    </w:p>
    <w:p>
      <w:r>
        <w:rPr>
          <w:sz w:val="32"/>
        </w:rPr>
        <w:t>1、摘要</w:t>
      </w:r>
    </w:p>
    <w:p>
      <w:pPr>
        <w:ind w:firstLine="432"/>
      </w:pPr>
      <w:r>
        <w:rPr>
          <w:sz w:val="22"/>
        </w:rPr>
        <w:t>通过在色林错流域和大通河的调查和苏热遗址的发掘，获取了11个旧石器-中石器时代遗址的经纬度、分布范围、地形特征、海拔高程、文化属性、文化遗物等基本信息；并且，对遗址发掘过程中的人工遗物、动植物遗存、土壤样品等进行了科学收集提取和实验室分析，得到了一批放射性碳测年数据、石制品测量数据和环境测试数据。该数据集丰富了青藏高原旧石器时代遗址的信息，为构建时空框架和文化序列提供了重要基础，为进一步研究青藏高原腹地的史前人类活动和生业模式提供了数据支撑。</w:t>
      </w:r>
    </w:p>
    <w:p>
      <w:r>
        <w:rPr>
          <w:sz w:val="32"/>
        </w:rPr>
        <w:t>2、关键词</w:t>
      </w:r>
    </w:p>
    <w:p>
      <w:pPr>
        <w:ind w:left="432"/>
      </w:pPr>
      <w:r>
        <w:rPr>
          <w:sz w:val="22"/>
        </w:rPr>
        <w:t>主题关键词：</w:t>
      </w:r>
      <w:r>
        <w:rPr>
          <w:sz w:val="22"/>
        </w:rPr>
        <w:t>旅游资源</w:t>
      </w:r>
      <w:r>
        <w:t>,</w:t>
      </w:r>
      <w:r>
        <w:rPr>
          <w:sz w:val="22"/>
        </w:rPr>
        <w:t>遗址遗迹</w:t>
        <w:br/>
      </w:r>
      <w:r>
        <w:rPr>
          <w:sz w:val="22"/>
        </w:rPr>
        <w:t>学科关键词：</w:t>
      </w:r>
      <w:r>
        <w:rPr>
          <w:sz w:val="22"/>
        </w:rPr>
        <w:t>人地关系</w:t>
        <w:br/>
      </w:r>
      <w:r>
        <w:rPr>
          <w:sz w:val="22"/>
        </w:rPr>
        <w:t>地点关键词：</w:t>
      </w:r>
      <w:r>
        <w:rPr>
          <w:sz w:val="22"/>
        </w:rPr>
        <w:t>青藏高原</w:t>
        <w:br/>
      </w:r>
      <w:r>
        <w:rPr>
          <w:sz w:val="22"/>
        </w:rPr>
        <w:t>时间关键词：</w:t>
      </w:r>
      <w:r>
        <w:rPr>
          <w:sz w:val="22"/>
        </w:rPr>
        <w:t>旧石器-中石器时代</w:t>
      </w:r>
    </w:p>
    <w:p>
      <w:r>
        <w:rPr>
          <w:sz w:val="32"/>
        </w:rPr>
        <w:t>3、数据细节</w:t>
      </w:r>
    </w:p>
    <w:p>
      <w:pPr>
        <w:ind w:left="432"/>
      </w:pPr>
      <w:r>
        <w:rPr>
          <w:sz w:val="22"/>
        </w:rPr>
        <w:t>1.比例尺：None</w:t>
      </w:r>
    </w:p>
    <w:p>
      <w:pPr>
        <w:ind w:left="432"/>
      </w:pPr>
      <w:r>
        <w:rPr>
          <w:sz w:val="22"/>
        </w:rPr>
        <w:t>2.投影：</w:t>
      </w:r>
    </w:p>
    <w:p>
      <w:pPr>
        <w:ind w:left="432"/>
      </w:pPr>
      <w:r>
        <w:rPr>
          <w:sz w:val="22"/>
        </w:rPr>
        <w:t>3.文件大小：0.08MB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w:t>
            </w:r>
          </w:p>
        </w:tc>
        <w:tc>
          <w:tcPr>
            <w:tcW w:type="dxa" w:w="2880"/>
          </w:tcPr>
          <w:p>
            <w:r>
              <w:t>-</w:t>
            </w:r>
          </w:p>
        </w:tc>
      </w:tr>
      <w:tr>
        <w:tc>
          <w:tcPr>
            <w:tcW w:type="dxa" w:w="2880"/>
          </w:tcPr>
          <w:p>
            <w:r>
              <w:t>西：100.5</w:t>
            </w:r>
          </w:p>
        </w:tc>
        <w:tc>
          <w:tcPr>
            <w:tcW w:type="dxa" w:w="2880"/>
          </w:tcPr>
          <w:p>
            <w:r>
              <w:t>-</w:t>
            </w:r>
          </w:p>
        </w:tc>
        <w:tc>
          <w:tcPr>
            <w:tcW w:type="dxa" w:w="2880"/>
          </w:tcPr>
          <w:p>
            <w:r>
              <w:t>东：80.5</w:t>
            </w:r>
          </w:p>
        </w:tc>
      </w:tr>
      <w:tr>
        <w:tc>
          <w:tcPr>
            <w:tcW w:type="dxa" w:w="2880"/>
          </w:tcPr>
          <w:p>
            <w:r>
              <w:t>-</w:t>
            </w:r>
          </w:p>
        </w:tc>
        <w:tc>
          <w:tcPr>
            <w:tcW w:type="dxa" w:w="2880"/>
          </w:tcPr>
          <w:p>
            <w:r>
              <w:t>南：26.5</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张晓凌, 张东菊. 旧石器-中石器时代青藏高原遗址调查与动植物资源利用数据集（2021）. 时空三极环境大数据平台, DOI:10.11888/HumanNat.tpdc.271855, CSTR:18406.11.HumanNat.tpdc.271855, </w:t>
      </w:r>
      <w:r>
        <w:t>2021</w:t>
      </w:r>
      <w:r>
        <w:t>.[</w:t>
      </w:r>
      <w:r>
        <w:t xml:space="preserve">ZHANG   Dongju , ZHANG Xiaoling. Archaeological site investigation and plant and animal resource utilization in the Tibet Plateau during the Paleolithic-Epipaleolithic  (2021). A Big Earth Data Platform for Three Poles, DOI:10.11888/HumanNat.tpdc.271855, CSTR:18406.11.HumanNat.tpdc.271855,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张晓凌</w:t>
        <w:br/>
      </w:r>
      <w:r>
        <w:rPr>
          <w:sz w:val="22"/>
        </w:rPr>
        <w:t xml:space="preserve">单位: </w:t>
      </w:r>
      <w:r>
        <w:rPr>
          <w:sz w:val="22"/>
        </w:rPr>
        <w:t>古脊椎动物与古人类研究所</w:t>
        <w:br/>
      </w:r>
      <w:r>
        <w:rPr>
          <w:sz w:val="22"/>
        </w:rPr>
        <w:t xml:space="preserve">电子邮件: </w:t>
      </w:r>
      <w:r>
        <w:rPr>
          <w:sz w:val="22"/>
        </w:rPr>
        <w:t>zhangxiaoling@ivpp.ac.cn</w:t>
        <w:br/>
        <w:br/>
      </w: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