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青藏高原（可可西里-羌塘-拉萨）岩浆岩全岩Sr-Nd同位素地球化学数据集（2020）</w:t>
      </w:r>
    </w:p>
    <w:p>
      <w:r>
        <w:rPr>
          <w:sz w:val="22"/>
        </w:rPr>
        <w:t>英文标题：Whole rock SR Nd isotopic geochemical data set of magmatic rocks in the Tibetan Plateau (Hoh Xil-Qiangtang-Lhasa)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青藏高原可可西里盆地到拉萨地块83件岩浆岩全岩Sr-Nd同位素数据，样品分布地区主要有可可西里湖、南羌塘果干加年、都古尔，以及冈底斯纳如松多、萨嘎县等地区。岩石样品包括橄榄白榴岩、石英二长岩、闪长岩和花岗岩等。数据主要来自已经发表文章或者正在接受阶段文章。Sr-Nd同位素测试方法采样MC-ICP-MS，测试单位包括中国科学院广州地球化学研究所等重点实验室。该数据集数据结果发表的文章已经被高级别SCI或NI期刊收录，数据结果真实可靠。未来可以应用于研究青藏高原岩石圈演化，岩浆岩成因等方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华南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古生代</w:t>
      </w:r>
      <w:r>
        <w:t xml:space="preserve">, </w:t>
      </w:r>
      <w:r>
        <w:rPr>
          <w:sz w:val="22"/>
        </w:rPr>
        <w:t>新生代</w:t>
      </w:r>
      <w:r>
        <w:t xml:space="preserve">, 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唐功建, 但卫, 齐玥, 王军, 周金胜. 青藏高原（可可西里-羌塘-拉萨）岩浆岩全岩Sr-Nd同位素地球化学数据集（2020）. 时空三极环境大数据平台, DOI:10.11888/Geo.tpdc.271150, CSTR:18406.11.Geo.tpdc.271150, </w:t>
      </w:r>
      <w:r>
        <w:t>2021</w:t>
      </w:r>
      <w:r>
        <w:t>.[</w:t>
      </w:r>
      <w:r>
        <w:t xml:space="preserve">WANG  Jun, ZHOU  Jinsheng, DAN  Wei, QI  Yue, TANG Gongjian. Whole rock SR Nd isotopic geochemical data set of magmatic rocks in the Tibetan Plateau (Hoh Xil-Qiangtang-Lhasa) (2020). A Big Earth Data Platform for Three Poles, DOI:10.11888/Geo.tpdc.271150, CSTR:18406.11.Geo.tpdc.271150,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Dan, W., Wang, Q., White, W.M., Li, X.H., Zhang, X.Z., Tang, G.J., Ou, Q., Hao, L.L., Qi, Y. (2020). Passive-margin magmatism caused by enhanced slab-pull forces in central Tibet. Geology, in press, https://doi.org/10.1130/G47957.1</w:t>
        <w:br/>
        <w:br/>
      </w:r>
      <w:r>
        <w:t>Dan, W., Wang, Q., Zhang, X.Z., &amp;Tang, G.J. (2020). Early Paleozoic S-type granites as the basement of Southern Qiantang Terrane, Tibet. Lithos 356-357, 105395.</w:t>
        <w:br/>
        <w:br/>
      </w:r>
      <w:r>
        <w:t>Qi, Y., Hawkesworth, C.J., Wang, Q., Wyman, D.A., Li, Z.X., Dong, H., Ma, T., Chen, F., Hu, W.L., Zhang, X.Z. (2020). Syn-collisional magmatic record of Indian steep subduction by 50 Ma. GSA Bulletin. in press, https://doi.org/10.1130/B35498.1.</w:t>
        <w:br/>
        <w:br/>
      </w:r>
      <w:r>
        <w:t>Qi, Y., Wang, Q., Zhu, Y.T., Shi, L.C., Yang, Y.N. (2020). Miocene Olivine Leucitites in the Hoh Xil Basin, Northern Tibet: Implications for Intracontinental Lithosphere Melting and Surface Uplift of the Tibetan Plateau. Journal of Petrology 61(1), egaa026, https://doi.org/10.1093/petrology/egaa026.</w:t>
        <w:br/>
        <w:br/>
      </w:r>
      <w:r>
        <w:t>Tang, G.J., Wang, Q., Wyman, D.A., Dan, W., Ma, L., Zhang, H.X., Zhao, Z.H. (2020). Petrogenesis of the Ulungur Intrusive Complex, NW China, and Implications for Crustal Generation and Reworking in Accretionary Orogens. Journal of Petrology 61(2), egaa018, https://doi.org/10.1093/petrology/egaa018</w:t>
        <w:br/>
        <w:br/>
      </w:r>
      <w:r>
        <w:t>Wang, J., Dan, W., Wang, Q., Tang, G.J. (2020). High-Mg# adakitic rocks formed by lower-crustal magma differentiation: mineralogical and geochemical evidence from garnet-bearing diorite porphyries in central Tibet. Journal of Petrology. egaa099, https://doi.org/10.1093/petrology/egaa099</w:t>
        <w:br/>
        <w:br/>
      </w:r>
      <w:r>
        <w:t>Zhou, J.S., Yang, Z.S., Wang, Q., Zheng, Y.C., Hou, Z.Q., Wyman, D.A. (2020). Extraction of high-silica granites from an upper crustal magma reservoir: Insights from the Narusongduo magmatic system, Gangdese arc. American Mineralogist 105, 1572-1584.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唐功建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tanggj@gig.ac.cn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但卫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danwei@gig.ac.cn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齐玥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qiyue2233@163.com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王军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wangjuncug@qq.com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周金胜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zhoujinshengyx@sina.com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