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拉萨藏族人群线粒体基因组测序数据</w:t>
      </w:r>
    </w:p>
    <w:p>
      <w:r>
        <w:rPr>
          <w:sz w:val="22"/>
        </w:rPr>
        <w:t>英文标题：Mitochondrial genome sequencing data of Tibetan population in Lhasa</w:t>
      </w:r>
    </w:p>
    <w:p>
      <w:r>
        <w:rPr>
          <w:sz w:val="32"/>
        </w:rPr>
        <w:t>1、摘要</w:t>
      </w:r>
    </w:p>
    <w:p>
      <w:pPr>
        <w:ind w:firstLine="432"/>
      </w:pPr>
      <w:r>
        <w:rPr>
          <w:sz w:val="22"/>
        </w:rPr>
        <w:t>采用高通量二代测序的方法，对68个藏族样本进行线粒体全基因组测序。测序平均深度1000×，确保每个样本的线粒体基因组完全覆盖（覆盖度100%）。基于系统发育思想，我们对这些数据进行质量控制，确保没有样本污染等质量问题。同时根据系统发育树，对每个个体进行单倍型类群划分。结果表明，拉萨藏族人群中M9a1a1c1b1a最高（19.12%），其次是G2（13.23%）、M13a（11.76%）、C4a（7.35%）、D4（7.35%）、A11a1a（5.88%）、M9a1b（5.88%），以及F1c、F1g、B4、F1d、M62b、F1a、F1b、G1、M10、M11、M8a、U7a、Z3a。从类群来源来看，包括了旧石器时期类群M13a、M62b、M9a1b等，来源于中国北方粟黍农业人群的M9a1a1c1b1a和A11a1a等，广泛分布于东亚南方的F1a等，分布于东亚北方的C4a、D4等类群。值得注意的是，拉萨藏族母系组分以中国北方粟黍农业人群组分为主，说明中国北方粟黍农业人群遗传输入对该地区人群遗传结构有着重要的影响。另外，从总体来看，拉萨藏族人群的母系遗传结构出现时间分层，可能代表了不同时期进入该地区的人群的遗传印记。</w:t>
      </w:r>
    </w:p>
    <w:p>
      <w:r>
        <w:rPr>
          <w:sz w:val="32"/>
        </w:rPr>
        <w:t>2、关键词</w:t>
      </w:r>
    </w:p>
    <w:p>
      <w:pPr>
        <w:ind w:left="432"/>
      </w:pPr>
      <w:r>
        <w:rPr>
          <w:sz w:val="22"/>
        </w:rPr>
        <w:t>主题关键词：</w:t>
      </w:r>
      <w:r>
        <w:rPr>
          <w:sz w:val="22"/>
        </w:rPr>
        <w:t>人口</w:t>
      </w:r>
      <w:r>
        <w:t>,</w:t>
      </w:r>
      <w:r>
        <w:rPr>
          <w:sz w:val="22"/>
        </w:rPr>
        <w:t>藏族人群</w:t>
        <w:br/>
      </w:r>
      <w:r>
        <w:rPr>
          <w:sz w:val="22"/>
        </w:rPr>
        <w:t>学科关键词：</w:t>
      </w:r>
      <w:r>
        <w:rPr>
          <w:sz w:val="22"/>
        </w:rPr>
        <w:t>人地关系</w:t>
        <w:br/>
      </w:r>
      <w:r>
        <w:rPr>
          <w:sz w:val="22"/>
        </w:rPr>
        <w:t>地点关键词：</w:t>
      </w:r>
      <w:r>
        <w:rPr>
          <w:sz w:val="22"/>
        </w:rPr>
        <w:t>拉萨</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3.文件大小：1.08MB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北：30.18</w:t>
            </w:r>
          </w:p>
        </w:tc>
        <w:tc>
          <w:tcPr>
            <w:tcW w:type="dxa" w:w="2880"/>
          </w:tcPr>
          <w:p>
            <w:r>
              <w:t>-</w:t>
            </w:r>
          </w:p>
        </w:tc>
      </w:tr>
      <w:tr>
        <w:tc>
          <w:tcPr>
            <w:tcW w:type="dxa" w:w="2880"/>
          </w:tcPr>
          <w:p>
            <w:r>
              <w:t>西：92.09</w:t>
            </w:r>
          </w:p>
        </w:tc>
        <w:tc>
          <w:tcPr>
            <w:tcW w:type="dxa" w:w="2880"/>
          </w:tcPr>
          <w:p>
            <w:r>
              <w:t>-</w:t>
            </w:r>
          </w:p>
        </w:tc>
        <w:tc>
          <w:tcPr>
            <w:tcW w:type="dxa" w:w="2880"/>
          </w:tcPr>
          <w:p>
            <w:r>
              <w:t>东：90.22</w:t>
            </w:r>
          </w:p>
        </w:tc>
      </w:tr>
      <w:tr>
        <w:tc>
          <w:tcPr>
            <w:tcW w:type="dxa" w:w="2880"/>
          </w:tcPr>
          <w:p>
            <w:r>
              <w:t>-</w:t>
            </w:r>
          </w:p>
        </w:tc>
        <w:tc>
          <w:tcPr>
            <w:tcW w:type="dxa" w:w="2880"/>
          </w:tcPr>
          <w:p>
            <w:r>
              <w:t>南：29.25</w:t>
            </w:r>
          </w:p>
        </w:tc>
        <w:tc>
          <w:tcPr>
            <w:tcW w:type="dxa" w:w="2880"/>
          </w:tcPr>
          <w:p>
            <w:r>
              <w:t>-</w:t>
            </w:r>
          </w:p>
        </w:tc>
      </w:tr>
    </w:tbl>
    <w:p>
      <w:r>
        <w:rPr>
          <w:sz w:val="32"/>
        </w:rPr>
        <w:t>5、时间范围</w:t>
      </w:r>
      <w:r>
        <w:rPr>
          <w:sz w:val="22"/>
        </w:rPr>
        <w:t>2018-12-31 16:00:00+00:00</w:t>
      </w:r>
      <w:r>
        <w:rPr>
          <w:sz w:val="22"/>
        </w:rPr>
        <w:t>--</w:t>
      </w:r>
      <w:r>
        <w:rPr>
          <w:sz w:val="22"/>
        </w:rPr>
        <w:t>2019-12-31 16:00:00+00:00</w:t>
      </w:r>
    </w:p>
    <w:p>
      <w:r>
        <w:rPr>
          <w:sz w:val="32"/>
        </w:rPr>
        <w:t>6、引用方式</w:t>
      </w:r>
    </w:p>
    <w:p>
      <w:pPr>
        <w:ind w:left="432"/>
      </w:pPr>
      <w:r>
        <w:rPr>
          <w:sz w:val="22"/>
        </w:rPr>
        <w:t xml:space="preserve">数据的引用: </w:t>
      </w:r>
    </w:p>
    <w:p>
      <w:pPr>
        <w:ind w:left="432" w:firstLine="432"/>
      </w:pPr>
      <w:r>
        <w:t xml:space="preserve">孔庆鹏. 拉萨藏族人群线粒体基因组测序数据. 时空三极环境大数据平台, DOI:10.1093/nsr/nwz080, CSTR:, </w:t>
      </w:r>
      <w:r>
        <w:t>2021</w:t>
      </w:r>
      <w:r>
        <w:t>.[</w:t>
      </w:r>
      <w:r>
        <w:t xml:space="preserve">KONG Qingpeng. Mitochondrial genome sequencing data of Tibetan population in Lhasa. A Big Earth Data Platform for Three Poles, DOI:10.1093/nsr/nwz080, CSTR:, </w:t>
      </w:r>
      <w:r>
        <w:t>2021</w:t>
      </w:r>
      <w:r>
        <w:rPr>
          <w:sz w:val="22"/>
        </w:rPr>
        <w:t>]</w:t>
      </w:r>
    </w:p>
    <w:p>
      <w:pPr>
        <w:ind w:left="432"/>
      </w:pPr>
      <w:r>
        <w:rPr>
          <w:sz w:val="22"/>
        </w:rPr>
        <w:t xml:space="preserve">文章的引用: </w:t>
      </w:r>
    </w:p>
    <w:p>
      <w:pPr>
        <w:ind w:left="864"/>
      </w:pPr>
      <w:r>
        <w:t>Li, Y.C., Tian, J.Y., Liu, F.W., Yang, B.Y., Gu, K.S.Y., Rahman, Z.U., Yang, L.Q., Chen, F.H., Dong, G.H., Kong, Q.P. (2019). Neolithic millet farmers contributed to the permanent settlement of the Tibetan Plateau by adopting barley agriculture, National Science Review, Volume 6, Issue 5, September 2019, Pages 1005–1013, https://doi.org/10.1093/nsr/nwz080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孔庆鹏</w:t>
        <w:br/>
      </w:r>
      <w:r>
        <w:rPr>
          <w:sz w:val="22"/>
        </w:rPr>
        <w:t xml:space="preserve">单位: </w:t>
      </w:r>
      <w:r>
        <w:rPr>
          <w:sz w:val="22"/>
        </w:rPr>
        <w:t>中国科学院昆明动物研究所</w:t>
        <w:br/>
      </w:r>
      <w:r>
        <w:rPr>
          <w:sz w:val="22"/>
        </w:rPr>
        <w:t xml:space="preserve">电子邮件: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