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青海省饲草资源及载畜量统计数据（1988，2012）</w:t>
      </w:r>
    </w:p>
    <w:p>
      <w:r>
        <w:rPr>
          <w:sz w:val="22"/>
        </w:rPr>
        <w:t>英文标题：Statistical data of forage resources and livestock carrying capacity in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该数据集记录了1988年，2012年度青海省饲草资源及载畜量统计数据，数据按照天然草地等级代号分类统计，草地等的划分以草地型为基本单元，划分为优、良、中、低、劣五个等别。各等的划分标准如下：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青海省饲草资源及载畜量统计数据（1988）、青海省饲草资源及载畜量统计数据（2012）。数据表结构相似。例如青海省饲草资源及载畜量统计数据（2012）表共有13个字段：</w:t>
        <w:br/>
        <w:t>字段1：行政单位</w:t>
        <w:br/>
        <w:t>字段2：2009年牲畜折羊单位数</w:t>
        <w:br/>
        <w:t>字段3：理论载畜量合计</w:t>
        <w:br/>
        <w:t>字段4：天然草地</w:t>
        <w:br/>
        <w:t>字段5：总饲草量</w:t>
        <w:br/>
        <w:t>字段6：载畜量</w:t>
        <w:br/>
        <w:t>字段7：人工草地</w:t>
        <w:br/>
        <w:t>字段8：农作物秸秆</w:t>
        <w:br/>
        <w:t>字段9：载畜潜力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饲草资源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青海省饲草资源及载畜量统计数据（1988，2012）.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forage resources and livestock carrying capacity in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