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黑河流域中上游SWAT情景模拟数据（2011-2030）</w:t>
      </w:r>
    </w:p>
    <w:p>
      <w:r>
        <w:rPr>
          <w:sz w:val="22"/>
        </w:rPr>
        <w:t>英文标题：Simulations of SWAT model under multiple scenarios in the upper and middle reaches of the Heihe River Basin (2011-2030)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此数据为黑河流域中上游的SWAT情景模拟数据。情景包括历史趋势情景（HT）、生态保护情景(EP)、严格生态保护情景(SEP)、经济发展情景(ED)和快速经济发展(RED)情景。 首先利用Dyna_CLUE模型，模拟不同情景下的土地利用变化，然后将不同情景下模拟的土地利用图导入到SWAT模型中，模拟黑河流域上游出口（莺落峡）和中游出口（正义峡）的日径流、月径流情景数据（假设其它条件一样）。时间段为2011-2030年。数据格式为excel格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黑河中游</w:t>
        <w:br/>
      </w:r>
      <w:r>
        <w:rPr>
          <w:sz w:val="22"/>
        </w:rPr>
        <w:t>时间关键词：</w:t>
      </w:r>
      <w:r>
        <w:rPr>
          <w:sz w:val="22"/>
        </w:rPr>
        <w:t>2011-2030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3.文件大小：0.7MB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西：98.51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东：101.83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2011-01-13 19:00:00+00:00</w:t>
      </w:r>
      <w:r>
        <w:rPr>
          <w:sz w:val="22"/>
        </w:rPr>
        <w:t>--</w:t>
      </w:r>
      <w:r>
        <w:rPr>
          <w:sz w:val="22"/>
        </w:rPr>
        <w:t>2031-01-13 01:00:00+00:00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南卓铜, 张凌. 黑河流域中上游SWAT情景模拟数据（2011-2030）. 时空三极环境大数据平台, DOI:10.3972/heihe.113.2014.db, CSTR:18406.11.heihe.113.2014.db, </w:t>
      </w:r>
      <w:r>
        <w:t>2015</w:t>
      </w:r>
      <w:r>
        <w:t>.[</w:t>
      </w:r>
      <w:r>
        <w:t xml:space="preserve">NAN Zhuotong, ZHANG Ling. Simulations of SWAT model under multiple scenarios in the upper and middle reaches of the Heihe River Basin (2011-2030). A Big Earth Data Platform for Three Poles, DOI:10.3972/heihe.113.2014.db, CSTR:18406.11.heihe.113.2014.db,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张凌， 黑河流域中上游土地利用变化和水文响应多情景分析[D]. 中国科学院大学,p1-82.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服务于黑河流域集成管理的空间决策支持系统(91125006)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南卓铜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nztong@lzb.ac.cn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张凌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zhanglingky@lzb.ac.cn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