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青海省资金流量表（实物交易）（2000-2017）</w:t>
      </w:r>
    </w:p>
    <w:p>
      <w:r>
        <w:rPr>
          <w:sz w:val="22"/>
        </w:rPr>
        <w:t>英文标题：Capital flow statement of Qinghai Province (Physical Transaction) (2000-2017)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资金流量表（实物交易）（2000-2017）的统计数据，数据是按年份进行划分的。数据整理自青海省统计局发布的青海省统计年鉴。数据集包含17个数据表，各数据表结构相同。例如2017年的数据表共有3个字段：</w:t>
        <w:br/>
        <w:t>字段1：非金融企业部门</w:t>
        <w:br/>
        <w:t>字段2：金融机构部门</w:t>
        <w:br/>
        <w:t>字段3：政府部门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资金流量表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实物交易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青海省资金流量表（实物交易）（2000-2017）. 时空三极环境大数据平台, </w:t>
      </w:r>
      <w:r>
        <w:t>2021</w:t>
      </w:r>
      <w:r>
        <w:t>.[</w:t>
      </w:r>
      <w:r>
        <w:t xml:space="preserve">Qinghai Provincial Bureau of Statistics. Capital flow statement of Qinghai Province (Physical Transaction) (2000-2017).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