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全国各地区固定资产投资和增长率及排序（2001-2018）</w:t>
      </w:r>
    </w:p>
    <w:p>
      <w:r>
        <w:rPr>
          <w:sz w:val="22"/>
        </w:rPr>
        <w:t>英文标题：Investment and growth rate of fixed assets in different regions of China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固定资产投资和增长率及排序（2001-2018）的统计数据，数据是按年份进行划分的。数据整理自青海省统计局发布的青海省统计年鉴。数据集包含18个数据表，各数据表结构相同。例如2018年的数据表共有4个字段：</w:t>
        <w:br/>
        <w:t>字段1：地区</w:t>
        <w:br/>
        <w:t>字段2：固定资产投资（不含农户）</w:t>
        <w:br/>
        <w:t>字段3：房地产开发投资额</w:t>
        <w:br/>
        <w:t>字段4：商品房销售面积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全国各地区固定资产投资和增长率及排序（2001-2018）. 时空三极环境大数据平台, </w:t>
      </w:r>
      <w:r>
        <w:t>2021</w:t>
      </w:r>
      <w:r>
        <w:t>.[</w:t>
      </w:r>
      <w:r>
        <w:t xml:space="preserve">Qinghai Provincial Bureau of Statistics. Investment and growth rate of fixed assets in different regions of China (2001-2018).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