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敦煌水资源合理利用与生态保护综合规划（2011-2020）</w:t>
      </w:r>
    </w:p>
    <w:p>
      <w:r>
        <w:rPr>
          <w:sz w:val="22"/>
        </w:rPr>
        <w:t>英文标题：Water resource and conservatory ecology plan of Dunhuang (2011-2020)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 xml:space="preserve">“水权框架下黑河流域治理的水文-生态-经济过程耦合与演化”（91125018）项目数据汇交2-敦煌水资源合理利用与生态保护综合规划(2011-2020) </w:t>
        <w:br/>
        <w:t>规划文档主要包括：1、区域水资源利用现状及存在的问 2、指导思想、基本原则和规划目标 3、经济社会及生态需水分析 4、水资源配置方案 5、水权制度建设 6、主要工程措施  7、环境影响安排等方面分析撰写。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</w:r>
      <w:r>
        <w:t>,</w:t>
      </w:r>
      <w:r>
        <w:rPr>
          <w:sz w:val="22"/>
        </w:rPr>
        <w:t>水资源利用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敦煌</w:t>
        <w:br/>
      </w:r>
      <w:r>
        <w:rPr>
          <w:sz w:val="22"/>
        </w:rPr>
        <w:t>时间关键词：</w:t>
      </w:r>
      <w:r>
        <w:rPr>
          <w:sz w:val="22"/>
        </w:rPr>
        <w:t>2011-2020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2011-12-16 05:17:00+00:00</w:t>
      </w:r>
      <w:r>
        <w:rPr>
          <w:sz w:val="22"/>
        </w:rPr>
        <w:t>--</w:t>
      </w:r>
      <w:r>
        <w:rPr>
          <w:sz w:val="22"/>
        </w:rPr>
        <w:t>2021-01-15 03:18:00+00:00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敦煌水资源合理利用与生态保护综合规划（2011-2020）. 时空三极环境大数据平台, DOI:10.3972/heihe.410.2014.db, CSTR:18406.11.heihe.410.2014.db, </w:t>
      </w:r>
      <w:r>
        <w:t>2015</w:t>
      </w:r>
      <w:r>
        <w:t>.[</w:t>
      </w:r>
      <w:r>
        <w:t xml:space="preserve">Water resource and conservatory ecology plan of Dunhuang (2011-2020). A Big Earth Data Platform for Three Poles, DOI:10.3972/heihe.410.2014.db, CSTR:18406.11.heihe.410.2014.db,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水权框架下黑河流域治理的水文-生态-经济过程耦合与演化(91125018)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