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autoSpaceDE/>
        <w:autoSpaceDN/>
        <w:bidi w:val="0"/>
        <w:adjustRightInd/>
        <w:spacing w:before="600" w:beforeAutospacing="0" w:after="300" w:afterAutospacing="0" w:line="240" w:lineRule="atLeast"/>
        <w:jc w:val="center"/>
        <w:textAlignment w:val="auto"/>
        <w:rPr>
          <w:rFonts w:ascii="黑体" w:hAnsi="宋体" w:eastAsia="黑体" w:cs="黑体"/>
          <w:color w:val="004186"/>
          <w:sz w:val="30"/>
          <w:szCs w:val="30"/>
        </w:rPr>
      </w:pPr>
      <w:r>
        <w:rPr>
          <w:rFonts w:hint="eastAsia" w:ascii="黑体" w:hAnsi="宋体" w:eastAsia="黑体" w:cs="黑体"/>
          <w:color w:val="004186"/>
          <w:sz w:val="30"/>
          <w:szCs w:val="30"/>
        </w:rPr>
        <w:t>海东市2019年国民经济和社会发展统计公报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autoSpaceDE/>
        <w:autoSpaceDN/>
        <w:bidi w:val="0"/>
        <w:adjustRightInd/>
        <w:spacing w:line="240" w:lineRule="atLeast"/>
        <w:jc w:val="center"/>
        <w:textAlignment w:val="auto"/>
      </w:pPr>
      <w:r>
        <w:t xml:space="preserve">来源：海东市统计局 日期：2020-04-29 16:54:00      </w:t>
      </w:r>
      <w:bookmarkStart w:id="7" w:name="_GoBack"/>
      <w:bookmarkEnd w:id="7"/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topLine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2019</w:t>
      </w: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，全市上下坚持以习近平新时代中国特色社会主义思想为指引，坚持稳中求进工作总基调，牢固树立新发展理念，深入实施“五四战略”，奋力推进“一优两高”，砥砺初心，拼搏奋进，全年全市经济社会发展总体平稳、稳中向好的良好态势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一、综合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经省统计局统一核算，全年全市生产总值487.73亿元，按可比价格计算，比上年增长7%。分产业看，第一产业增加值70.44亿元，增长5.2%；第二产业增加值184.92亿元，增长9%；第三产业增加值232.36亿元，增长4.7%。第一产业增加值占全市生产总值的比重为14.44%，第二产业增加值比重为37.92%，第三产业增加值比重为47.64%。人均生产总值32806元，比上年增长6.15%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全市常住人口149.32万人，比上年末增加1.3万人。按城乡分，城镇常住人口61.18万人，比上年末增加4.27万人，占全市常住人口的比重（常住人口城镇化率）为40.97%，比上年末提高2.52个百分点。全年人口出生率16.2‰，比上年高0.2个千分点；人口死亡率6.79‰，比上年低0.03个千分点。全年人口自然增长率9.41‰，比上年高0.22个千分点。年末全市户籍人口172.61万人，其中城镇户籍人口47.17万人，占全市户籍人口的比重（户籍人口城镇化率）为27.33%；乡村户籍人口125.44万人，占72.67%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全年全市城镇新增就业人员9334万人。年末城镇登记失业率为3.18%。全年农村劳动力转移就业51.4万人次。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全年平安区</w:t>
      </w:r>
      <w:bookmarkStart w:id="0" w:name="_Hlk34140384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居民消费价格总水平比上年上涨</w:t>
      </w:r>
      <w:bookmarkEnd w:id="0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2.9%，乐都区居民消费价格总水平比上年上涨3%。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二、种植业和畜牧业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全年农作物总播种面积319.55万亩，比上年增加5.85万亩。粮食作物播种面积192.96万亩，</w:t>
      </w:r>
      <w:bookmarkStart w:id="1" w:name="_Hlk36046964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比上年</w:t>
      </w:r>
      <w:bookmarkEnd w:id="1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增加0.03万亩。其中，小麦66.19万亩，比上年增加2.88万元，马铃薯82.07万亩，比上年减少3.85万亩；玉米27.92万亩，比上年增加0.26万亩；豆类10.43万亩，比上年减少0.91万亩。油料79.32万亩，增加1.38万亩。药材8.6万亩，增加2.91万亩。蔬菜播种面积30.42万亩，比上年增加1.29万亩。</w:t>
      </w:r>
      <w:bookmarkStart w:id="2" w:name="_Hlk3211842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全年粮食产量52.89万吨，同比增加1.47万吨。</w:t>
      </w:r>
      <w:bookmarkEnd w:id="2"/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68595" cy="3010535"/>
            <wp:effectExtent l="0" t="0" r="825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年末生猪存栏</w:t>
      </w: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23.31万头，羊存栏121.07万只，</w:t>
      </w:r>
      <w:bookmarkStart w:id="3" w:name="_Hlk35955801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牛</w:t>
      </w:r>
      <w:bookmarkEnd w:id="3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存栏19.96万头；家禽存栏45.71万只。全年牛出栏6.78万头，牛肉产量0.68万吨；羊出栏84.79万只，羊肉产量1.47万吨；猪出栏52.63万头，猪肉产量4.11万吨；家禽出栏152.45万只，禽肉产量0.27万吨。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三、工业和建筑业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全年全市全部工业增加值增长13.16%。规模以上工业增加值比上年增长4%。规模以下工业增加值</w:t>
      </w:r>
      <w:bookmarkStart w:id="4" w:name="_Hlk34141302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增长</w:t>
      </w:r>
      <w:bookmarkEnd w:id="4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22.34%。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71135" cy="3485515"/>
            <wp:effectExtent l="0" t="0" r="571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8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71770" cy="4904105"/>
            <wp:effectExtent l="0" t="0" r="508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90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72405" cy="2983865"/>
            <wp:effectExtent l="0" t="0" r="444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8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年末全市具有资质等级的总承包和专业承包建筑业企业</w:t>
      </w: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52个，比上年末增加7个。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四、交通运输、邮政、电信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autoSpaceDE/>
        <w:autoSpaceDN/>
        <w:bidi w:val="0"/>
        <w:adjustRightInd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年末全市公路通车里程达12000.07公里，按行政等级分：国道462.275公里，省道1537.856公里，县道1422.161公里，乡道3037.727公里，村道5164.366公里，专用公路375.689公里。按技术等级分：高速公路316.255公里，一级公路220.66公里，二级公路852.672公里，三级公路693.715公里，四级公路6596.03公里，等外公路3320.742公里。按路面类型分：沥青混凝土路面2109.433公里，水泥混凝土路面7774.045公里，简易铺装路面373.471公里，砂砾路面984.984公里，无路面758.141公里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市邮政行业业务收入（不包括邮政储蓄银行直接营业收入）10527.34万元，同比增长20.35%;业务总量7772.07万元，同比增长16.19%。邮政服务业务总量5853.99元，同比增长7.91%；邮政寄递服务业务量2426.34万件，同比增长2.09%；邮政寄递服务业务收入1092.93万元，同比增长9.97%。邮政函件业务13.40万件,同比增长1.98%;包裹业务4.49万件,同比下降51.35%;报纸业务2337.91万份,同比增长1.60%;杂志业务48.42万份,同比增长16.56%;汇兑业务0.18万笔,同比下降47.06%。全市快递服务企业业务量107.96万件，同比增长44.72%；业务收入4277.06万元，同比增长45.97%，其中同城业务量11.74万件，同比增长131.13%；异地业务量96.22万件，同比增长38.41%；国际/港澳台业务量0.0035万件，同比下降38.60%。年末移动电话用户139.08万户。固定互联网用户17.53万户，同比增长16.63%。互联网宽带接入用户34.47万户，增长15.6%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五、固定资产投资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固定资产投资比上年增长10.3%。按产业分，第一产业投资增长2.1%，第二产业投资下降7.1%，第三产业投资增长15.9%。工业投资增长6.3%。按三大门类分，制造业投资增长3.9%，电力、热力、燃气及水生产和供应业投资增长6.4%，采矿业投资增长42.4%。民间投资增长42.8%。基础设施投资增长31.8%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73040" cy="4571365"/>
            <wp:effectExtent l="0" t="0" r="381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57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  <w:rPr>
          <w:rFonts w:hint="default" w:ascii="仿宋_GB2312" w:hAnsi="宋体" w:eastAsia="仿宋_GB2312" w:cs="仿宋_GB2312"/>
          <w:color w:val="00000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sz w:val="24"/>
          <w:szCs w:val="24"/>
        </w:rPr>
        <w:t>全年全市房地产开发投资比上年增长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89.6%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。其中，商品住宅投资增长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136.6%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71770" cy="3582035"/>
            <wp:effectExtent l="0" t="0" r="5080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58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六、国内贸易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全年全市社会消费品零售总额</w:t>
      </w: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108.45亿元，比上年增长6.4%。按行业分，批发业销售额81.32亿元增长6.6%，零售业销售额148.19亿元，增长5.0%；住宿业营业额3.87亿元，增长6.2%。餐饮业营业额19.08亿元，增长8.8%。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七、对外经济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全年全市货物进出口总值5.47亿元，比上年</w:t>
      </w:r>
      <w:bookmarkStart w:id="5" w:name="_Hlk35611416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下降</w:t>
      </w:r>
      <w:bookmarkEnd w:id="5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27.1%。其中，出口值0.49亿元，比上年下降70.63%；进口值4.97亿元，比上年14.48%。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八、财政和金融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一般公共预算收入20.4亿元，比上年增长9%。其中，增值税4亿元，下降11.8%；企业所得税1.4亿元，增长23.1%；个人所得税0.5亿元，下降39.6%；资源税0.1亿元，下降19.47%；城市维护建设税1.1亿元，下降2.3%。全市一般公共预算支出237.8亿元，比上年增长10.1%。其中，城乡社区事务支出增长7.42%，文化旅游体育与传媒支出增长18.7%，农林水支出增长5.4%，社会保障和就业支出增长15.6%，教育支出增长7.6%，卫生健康支出增长6.1%，一般公共服务支出增长24.4%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全市金融机构人民币各项存款余额601.3亿元，比上年末下降9.1%。其中，住户存款余额372.3亿元，增长8.5%；非金融企业存款余额65.9亿元，下降16%。金融机构人民币各项贷款余额410.8亿元，比上年末增长14%。其中，住户贷款余额119.1亿元，增长30.8%；非金融企业及机关团体贷款余额285.7亿元，增长6.1%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保险公司保险保费收入11.06亿元，比上年增长14.72%。其中，寿险保费收入5.5亿元，增长20.29%；财产险保费收入5.56亿元，增长9.34%；健康险和意外伤害险保费收入0.42亿元，增长71.6%。全年保险赔付额3.44亿元，比上年增长29.8%。其中，寿险赔付额0.6亿元，增长66.2%；财产险赔付额2.84亿元，增长7.38%；健康险和意外伤害险赔付额0.05亿元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九、居民收入消费和社会保障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全体居民人均可支配收入18889元，比上年增长9.2%。全市城镇常住居民人均可支配收入31962元，增长7.1%；全市农村常住居民人均可支配收入11627元，增长9.3%。城乡居民人均收入比（以农村居民人均收入为1）为2.75，比上年缩小0.06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69865" cy="4850765"/>
            <wp:effectExtent l="0" t="0" r="6985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85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71135" cy="2081530"/>
            <wp:effectExtent l="0" t="0" r="5715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8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  <w:rPr>
          <w:rFonts w:hint="default" w:ascii="仿宋_GB2312" w:hAnsi="宋体" w:eastAsia="仿宋_GB2312" w:cs="仿宋_GB2312"/>
          <w:color w:val="00000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sz w:val="24"/>
          <w:szCs w:val="24"/>
        </w:rPr>
        <w:t>全年全市全体居民人均生活消费支出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12261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元，比上年增长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5.2%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，恩格尔系数为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28.2%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。城镇常住居民人均生活消费支出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17640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元，增长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1.4%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，恩格尔系数为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26.9%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；农村常住居民人均生活消费支出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9274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元，增长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7.8%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，恩格尔系数为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  <w:lang w:val="en-US"/>
        </w:rPr>
        <w:t>29.5%</w:t>
      </w:r>
      <w:r>
        <w:rPr>
          <w:rFonts w:hint="default" w:ascii="仿宋_GB2312" w:hAnsi="宋体" w:eastAsia="仿宋_GB2312" w:cs="仿宋_GB2312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71135" cy="5509895"/>
            <wp:effectExtent l="0" t="0" r="5715" b="146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50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69230" cy="2469515"/>
            <wp:effectExtent l="0" t="0" r="762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6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1"/>
        <w:jc w:val="left"/>
        <w:textAlignment w:val="auto"/>
      </w:pPr>
      <w:r>
        <w:rPr>
          <w:rFonts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年末城乡居民基本养老保险参保人数</w:t>
      </w: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92.99万人，增加4.65万人；企业职工基本养老保险参保人数6.83万人，增加0.25万人；机关事业单位养老保险参保人数3.64万人。全市医疗保险参保人数149.81万人，比上年末增加0.23万人。其中，城镇职工医疗保险参保人数8.04万人，增加0.34万人；城乡居民医疗保险参保人数141.77万人，减少0.11万人。全市失业保险参保人数4.74万人，比上年末增加588人，其中农民工参保人数2.98万人。全市工伤保险参保人数10.46万人，比上年末增加0.84万人，其中农民工参保人数2.98万人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1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年末全市享受城镇最低生活保障人数8602人，享受农村最低生活保障人数65610人。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1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年末全市共有各类提供住宿的社会服务机构49个，其中</w:t>
      </w:r>
      <w:bookmarkStart w:id="6" w:name="_Hlk35611672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正常运营19个</w:t>
      </w:r>
      <w:bookmarkEnd w:id="6"/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。养老服务床位5777张。年末全市共有日间照料中心35个，正常运营22个，互助幸福院762个，正常运营635个。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十、科学技术和教育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1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取得省部级以上科技成果19项，其中，独立完成6项，联合完成13项。年末共有有效发明专利74件，2019年申请、审批专利325件，其中发明26件，实用新型专利263件，外观设计专利36件）；专利授权221件，其中发明专利9件，实用新型专利193件，外观设计专利25件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1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全年全市学适龄儿童净入学率为100%，初中适龄儿童少年净入学率为100%，与上年持平；九年义务教育巩固率97.54%，比上年提高0.7个百分点。高中阶段毛入学率95.62%，比上年提高1.74个百分点。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</w:pPr>
      <w:r>
        <w:drawing>
          <wp:inline distT="0" distB="0" distL="114300" distR="114300">
            <wp:extent cx="5269230" cy="4078605"/>
            <wp:effectExtent l="0" t="0" r="7620" b="171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07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备注：学校数总计中不包含</w:t>
      </w: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587个教学点数。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十一、文化旅游、体育和卫生健康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年末全市有民间艺术团体75个，文化馆7个，公共图书馆5个，博物馆8个。广播电视电台59座。广播综合人口覆盖率98.78%，电视综合人口覆盖率98.76%。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接待国内外游客1767.5万人次，比上年增长28.56%。其中，国内游客1765.1万人次，增长28.6%；入境游客2.4万人次，增长7%。实现旅游总收入72.65亿元，增长31.9%。其中，国内旅游收入72.52亿元，增长32.9%；旅游外汇收入273.26万美元，增长5.2%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3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年末全市有等级运动员15人，其中：一级运动员3人，二级运动员12人。参加国内外比赛2人次。全年销售体育彩票4479.38万元。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全市医疗卫生机构2101家，床位6897张。其中，医院56个，床位4975张；乡镇卫生院109个，床位1645张；社区卫生服务中心（站）66个，妇幼保健院（所、站）7个，疾病预防控制中心（防疫站）7个，村卫生室1603个，门诊部、诊所（卫生所、医务室）245个，卫生监督所（中心）7个、中心血站1个。全市医疗卫生机构卫生人员9283人。其中，执业（助理）医师3106人，注册护士2919人。全年总诊疗人次456.8万人次，出院人数18.4万人次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24"/>
          <w:szCs w:val="24"/>
          <w:shd w:val="clear" w:fill="FFFFFF"/>
          <w:lang w:val="en-US" w:eastAsia="zh-CN" w:bidi="ar"/>
        </w:rPr>
        <w:t>十二、环境和应急管理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年末全市有自然保护区1个，中国家级自然保护区1个。森林面积52.13万公顷，森林覆盖率36%。湿地面积112公顷，其中自然湿地面积15公顷。国家重点公益林管护面积29.55万公顷，天然林保护面积27.56万公顷。全年全民义务植树733.9万株，造林面积5.36万公顷。当年治理水土流失面积422.13平方公里。全年市政府所在地城镇空气质量优良天数比例为95.5%。全年全市规模以上工业企业综合能源消费量比上年下降12.7%。规模以上工业单位增加值能耗下降16.05%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64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全年全市各类生产安全事故死亡36人，比上年减少1人。工矿商贸事故死亡6人，比上年增加1人。道路交通事故71起，比上年减少1起；死亡30人，比上年减少1人。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pacing w:before="0" w:beforeAutospacing="1" w:after="0" w:afterAutospacing="1" w:line="240" w:lineRule="atLeast"/>
        <w:ind w:left="0" w:right="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pacing w:before="0" w:beforeAutospacing="1" w:after="0" w:afterAutospacing="1" w:line="240" w:lineRule="atLeast"/>
        <w:ind w:left="0" w:right="0"/>
        <w:jc w:val="left"/>
        <w:textAlignment w:val="auto"/>
      </w:pP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备注：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pacing w:before="0" w:beforeAutospacing="1" w:after="0" w:afterAutospacing="1" w:line="240" w:lineRule="atLeast"/>
        <w:ind w:left="0" w:right="0" w:firstLine="420"/>
        <w:jc w:val="left"/>
        <w:textAlignment w:val="auto"/>
      </w:pPr>
      <w:r>
        <w:rPr>
          <w:rFonts w:hint="default" w:ascii="仿宋_GB2312" w:eastAsia="仿宋_GB2312" w:cs="仿宋_GB2312" w:hAnsiTheme="minorHAnsi"/>
          <w:b/>
          <w:kern w:val="0"/>
          <w:sz w:val="24"/>
          <w:szCs w:val="24"/>
          <w:shd w:val="clear" w:fill="FFFFFF"/>
          <w:lang w:val="en-US" w:eastAsia="zh-CN" w:bidi="ar"/>
        </w:rPr>
        <w:t>1、公报个别数据因四舍五入的原因，存在与分项合计不等的情况。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autoSpaceDE/>
        <w:autoSpaceDN/>
        <w:bidi w:val="0"/>
        <w:adjustRightInd/>
        <w:spacing w:before="0" w:beforeAutospacing="1" w:after="0" w:afterAutospacing="1" w:line="240" w:lineRule="atLeast"/>
        <w:ind w:left="0" w:right="0" w:firstLine="420"/>
        <w:jc w:val="left"/>
        <w:textAlignment w:val="auto"/>
      </w:pPr>
      <w:r>
        <w:rPr>
          <w:rFonts w:hint="default" w:ascii="仿宋_GB2312" w:eastAsia="仿宋_GB2312" w:cs="仿宋_GB2312" w:hAnsiTheme="minorHAnsi"/>
          <w:b/>
          <w:kern w:val="0"/>
          <w:sz w:val="24"/>
          <w:szCs w:val="24"/>
          <w:shd w:val="clear" w:fill="FFFFFF"/>
          <w:lang w:val="en-US" w:eastAsia="zh-CN" w:bidi="ar"/>
        </w:rPr>
        <w:t>2、地区生产总值、各产业增加值及人均地区生产总值按国家统计局2012年制定的《三次产业划分规定》口径统计，绝对数按现价计算，增长速度按不变价格计算。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autoSpaceDE/>
        <w:autoSpaceDN/>
        <w:bidi w:val="0"/>
        <w:adjustRightInd/>
        <w:spacing w:before="0" w:beforeAutospacing="1" w:after="0" w:afterAutospacing="1" w:line="240" w:lineRule="atLeast"/>
        <w:ind w:left="0" w:right="0" w:firstLine="562"/>
        <w:jc w:val="left"/>
        <w:textAlignment w:val="auto"/>
      </w:pPr>
      <w:r>
        <w:rPr>
          <w:rFonts w:hint="default" w:ascii="仿宋_GB2312" w:eastAsia="仿宋_GB2312" w:cs="仿宋_GB2312" w:hAnsiTheme="minorHAnsi"/>
          <w:b/>
          <w:kern w:val="0"/>
          <w:sz w:val="24"/>
          <w:szCs w:val="24"/>
          <w:lang w:val="en-US" w:eastAsia="zh-CN" w:bidi="ar"/>
        </w:rPr>
        <w:t>3、规模以上工业企业统计口径为年主营业务收入2000万元及以上的工业企业。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autoSpaceDE/>
        <w:autoSpaceDN/>
        <w:bidi w:val="0"/>
        <w:adjustRightInd/>
        <w:spacing w:before="0" w:beforeAutospacing="1" w:after="0" w:afterAutospacing="1" w:line="240" w:lineRule="atLeast"/>
        <w:ind w:left="0" w:right="0" w:firstLine="562"/>
        <w:jc w:val="left"/>
        <w:textAlignment w:val="auto"/>
      </w:pPr>
      <w:r>
        <w:rPr>
          <w:rFonts w:hint="default" w:ascii="仿宋_GB2312" w:eastAsia="仿宋_GB2312" w:cs="仿宋_GB2312" w:hAnsiTheme="minorHAnsi"/>
          <w:b/>
          <w:kern w:val="0"/>
          <w:sz w:val="24"/>
          <w:szCs w:val="24"/>
          <w:lang w:val="en-US" w:eastAsia="zh-CN" w:bidi="ar"/>
        </w:rPr>
        <w:t>4、可支配收入指调查户在调查期内获得的、可用于最终消费支出和储蓄的总和，即调查户可以用来自由支配的收入。可支配收入既包括现金，也包括实物收入。按照收入的来源，可支配收入包含四项，分别为：工资性收入、经营净收入、财产净收入和转移净收入。计算方法：可支配收入=工资性收入+经营净收入+财产净收入+转移净收入。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autoSpaceDE/>
        <w:autoSpaceDN/>
        <w:bidi w:val="0"/>
        <w:adjustRightInd/>
        <w:spacing w:before="0" w:beforeAutospacing="1" w:after="0" w:afterAutospacing="1" w:line="240" w:lineRule="atLeast"/>
        <w:ind w:left="0" w:right="0" w:firstLine="562"/>
        <w:jc w:val="left"/>
        <w:textAlignment w:val="auto"/>
      </w:pPr>
      <w:r>
        <w:rPr>
          <w:rFonts w:hint="default" w:ascii="仿宋_GB2312" w:eastAsia="仿宋_GB2312" w:cs="仿宋_GB2312" w:hAnsiTheme="minorHAnsi"/>
          <w:b/>
          <w:kern w:val="0"/>
          <w:sz w:val="24"/>
          <w:szCs w:val="24"/>
          <w:lang w:val="en-US" w:eastAsia="zh-CN" w:bidi="ar"/>
        </w:rPr>
        <w:t>5、保险保费收入是指保险企业确认的原保险合同保费收入。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autoSpaceDE/>
        <w:autoSpaceDN/>
        <w:bidi w:val="0"/>
        <w:adjustRightInd/>
        <w:snapToGrid w:val="0"/>
        <w:spacing w:before="0" w:beforeAutospacing="1" w:after="0" w:afterAutospacing="1" w:line="240" w:lineRule="atLeast"/>
        <w:ind w:left="0" w:right="0" w:firstLine="562"/>
        <w:jc w:val="left"/>
        <w:textAlignment w:val="auto"/>
      </w:pPr>
      <w:r>
        <w:rPr>
          <w:rFonts w:hint="default" w:ascii="仿宋_GB2312" w:eastAsia="仿宋_GB2312" w:cs="仿宋_GB2312" w:hAnsiTheme="minorHAnsi"/>
          <w:b/>
          <w:kern w:val="0"/>
          <w:sz w:val="24"/>
          <w:szCs w:val="24"/>
          <w:lang w:val="en-US" w:eastAsia="zh-CN" w:bidi="ar"/>
        </w:rPr>
        <w:t>资料来源：本公报中登记失业率、农牧区劳动力转移就业人数、新农合、城镇居民及社会保险数据来自市人力资源和社会保障局；财政数据来自市财政局；城乡居民收入来自国家统计局海东调查总队；公路通车里程、公路客货运输量、周转量来自市交通局；移动电话用户数、固定电话用户数、宽带用户数数来自移动、联通、电信三家公司；邮政业务量来自市邮政管理局；金融数据来自中国人民银行海东中心支行；保险业数据来自海东保险协会；教育数据来自市教育局；科技数据来自市科技局；旅游数据、文体数据来自市市文体旅游广电局；卫生数据来自市卫生健康委；城乡居民最低生活保障数据来自市民政局；安全生产数据来自市应急管理局；森林面积、天然林保护面积、全民义务植树数据来自市林业局；治理水土流失面积数据来自市水务局；其他数据均来自海东市统计局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pacing w:line="240" w:lineRule="atLeast"/>
        <w:textAlignment w:val="auto"/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849E5"/>
    <w:rsid w:val="3AD40DA0"/>
    <w:rsid w:val="3CF8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2020-09-24T12:04:00Z</dcterms:created>
  <dc:creator>小米</dc:creator>
  <cp:lastModifiedBy>小米</cp:lastModifiedBy>
  <dcterms:modified xsi:type="dcterms:W3CDTF">2020-09-24T12:14:19Z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