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8BE8" w14:textId="0964D13A" w:rsidR="00CE4C9B" w:rsidRPr="002D6F1B" w:rsidRDefault="00154F0A" w:rsidP="002D6F1B">
      <w:pPr>
        <w:jc w:val="center"/>
        <w:rPr>
          <w:sz w:val="28"/>
          <w:szCs w:val="28"/>
        </w:rPr>
      </w:pPr>
      <w:r w:rsidRPr="002D6F1B">
        <w:rPr>
          <w:rFonts w:hint="eastAsia"/>
          <w:sz w:val="28"/>
          <w:szCs w:val="28"/>
        </w:rPr>
        <w:t>“一带一路</w:t>
      </w:r>
      <w:r w:rsidR="00CE4C9B" w:rsidRPr="002D6F1B">
        <w:rPr>
          <w:rFonts w:hint="eastAsia"/>
          <w:sz w:val="28"/>
          <w:szCs w:val="28"/>
        </w:rPr>
        <w:t>”沿线国家</w:t>
      </w:r>
      <w:r w:rsidR="002A4392">
        <w:rPr>
          <w:rFonts w:hint="eastAsia"/>
          <w:sz w:val="28"/>
          <w:szCs w:val="28"/>
        </w:rPr>
        <w:t>社会就业状况发展恢复力</w:t>
      </w:r>
      <w:r w:rsidR="00CE4C9B" w:rsidRPr="002D6F1B">
        <w:rPr>
          <w:rFonts w:hint="eastAsia"/>
          <w:sz w:val="28"/>
          <w:szCs w:val="28"/>
        </w:rPr>
        <w:t>数据集</w:t>
      </w:r>
    </w:p>
    <w:p w14:paraId="42BCCD7E" w14:textId="77777777" w:rsidR="00CE4C9B" w:rsidRDefault="00CE4C9B" w:rsidP="00CE4C9B"/>
    <w:p w14:paraId="60243942" w14:textId="6011C0FB" w:rsidR="00CE4C9B" w:rsidRPr="002D6F1B" w:rsidRDefault="00CE4C9B" w:rsidP="002D6F1B">
      <w:pPr>
        <w:spacing w:line="360" w:lineRule="auto"/>
        <w:rPr>
          <w:b/>
          <w:sz w:val="24"/>
          <w:szCs w:val="24"/>
        </w:rPr>
      </w:pPr>
      <w:r w:rsidRPr="002D6F1B">
        <w:rPr>
          <w:rFonts w:hint="eastAsia"/>
          <w:b/>
          <w:sz w:val="24"/>
          <w:szCs w:val="24"/>
        </w:rPr>
        <w:t>摘要：</w:t>
      </w:r>
    </w:p>
    <w:p w14:paraId="6FA31A0F" w14:textId="43D0C7B3" w:rsidR="00154F0A" w:rsidRPr="002D6F1B" w:rsidRDefault="00A92E61" w:rsidP="00A92E61">
      <w:pPr>
        <w:spacing w:line="360" w:lineRule="auto"/>
        <w:ind w:firstLineChars="200" w:firstLine="480"/>
        <w:rPr>
          <w:sz w:val="24"/>
          <w:szCs w:val="24"/>
        </w:rPr>
      </w:pPr>
      <w:bookmarkStart w:id="0" w:name="_Hlk98594572"/>
      <w:r w:rsidRPr="00A92E61">
        <w:rPr>
          <w:rFonts w:hint="eastAsia"/>
          <w:sz w:val="24"/>
          <w:szCs w:val="24"/>
        </w:rPr>
        <w:t>“一带一路”沿线国家</w:t>
      </w:r>
      <w:r w:rsidR="002A4392">
        <w:rPr>
          <w:rFonts w:hint="eastAsia"/>
          <w:sz w:val="24"/>
          <w:szCs w:val="24"/>
        </w:rPr>
        <w:t>社会就业状况发展恢复力</w:t>
      </w:r>
      <w:r w:rsidRPr="00A92E61">
        <w:rPr>
          <w:rFonts w:hint="eastAsia"/>
          <w:sz w:val="24"/>
          <w:szCs w:val="24"/>
        </w:rPr>
        <w:t>反映了沿线国家</w:t>
      </w:r>
      <w:r w:rsidR="002A4392">
        <w:rPr>
          <w:rFonts w:hint="eastAsia"/>
          <w:sz w:val="24"/>
          <w:szCs w:val="24"/>
        </w:rPr>
        <w:t>社会就业状况发展恢复力</w:t>
      </w:r>
      <w:r w:rsidRPr="00A92E61">
        <w:rPr>
          <w:rFonts w:hint="eastAsia"/>
          <w:sz w:val="24"/>
          <w:szCs w:val="24"/>
        </w:rPr>
        <w:t>水平，数据值越高，表明沿线国家</w:t>
      </w:r>
      <w:r w:rsidR="002A4392">
        <w:rPr>
          <w:rFonts w:hint="eastAsia"/>
          <w:sz w:val="24"/>
          <w:szCs w:val="24"/>
        </w:rPr>
        <w:t>社会就业状况发展恢复力</w:t>
      </w:r>
      <w:r w:rsidRPr="00A92E61">
        <w:rPr>
          <w:rFonts w:hint="eastAsia"/>
          <w:sz w:val="24"/>
          <w:szCs w:val="24"/>
        </w:rPr>
        <w:t>越强。</w:t>
      </w:r>
      <w:r w:rsidR="002A4392">
        <w:rPr>
          <w:rFonts w:hint="eastAsia"/>
          <w:sz w:val="24"/>
          <w:szCs w:val="24"/>
        </w:rPr>
        <w:t>社会就业状况发展恢复力</w:t>
      </w:r>
      <w:r w:rsidRPr="00A92E61">
        <w:rPr>
          <w:rFonts w:hint="eastAsia"/>
          <w:sz w:val="24"/>
          <w:szCs w:val="24"/>
        </w:rPr>
        <w:t>数据产品制备参考了世界银行统计数据库，利用</w:t>
      </w:r>
      <w:r w:rsidRPr="00A92E61">
        <w:rPr>
          <w:rFonts w:hint="eastAsia"/>
          <w:sz w:val="24"/>
          <w:szCs w:val="24"/>
        </w:rPr>
        <w:t>2000-2019</w:t>
      </w:r>
      <w:r w:rsidRPr="00A92E61">
        <w:rPr>
          <w:rFonts w:hint="eastAsia"/>
          <w:sz w:val="24"/>
          <w:szCs w:val="24"/>
        </w:rPr>
        <w:t>年“一带一路”沿线国家</w:t>
      </w:r>
      <w:r w:rsidR="00BE1B05" w:rsidRPr="00BE1B05">
        <w:rPr>
          <w:rFonts w:hint="eastAsia"/>
          <w:sz w:val="24"/>
          <w:szCs w:val="24"/>
        </w:rPr>
        <w:t>总失业人数占劳动力总数的比例</w:t>
      </w:r>
      <w:r w:rsidRPr="00A92E61">
        <w:rPr>
          <w:rFonts w:hint="eastAsia"/>
          <w:sz w:val="24"/>
          <w:szCs w:val="24"/>
        </w:rPr>
        <w:t>这一指标的逐年数据，在考虑各指标逐年变化的基础上，基于敏感性和适应性分析，通过综合诊断，制备生成了</w:t>
      </w:r>
      <w:r w:rsidR="002A4392">
        <w:rPr>
          <w:rFonts w:hint="eastAsia"/>
          <w:sz w:val="24"/>
          <w:szCs w:val="24"/>
        </w:rPr>
        <w:t>社会就业状况发展恢复力</w:t>
      </w:r>
      <w:r w:rsidRPr="00A92E61">
        <w:rPr>
          <w:rFonts w:hint="eastAsia"/>
          <w:sz w:val="24"/>
          <w:szCs w:val="24"/>
        </w:rPr>
        <w:t>产品。</w:t>
      </w:r>
      <w:r w:rsidRPr="00A92E61">
        <w:rPr>
          <w:rFonts w:hint="eastAsia"/>
          <w:sz w:val="24"/>
          <w:szCs w:val="24"/>
        </w:rPr>
        <w:t xml:space="preserve"> </w:t>
      </w:r>
      <w:r w:rsidRPr="00A92E61">
        <w:rPr>
          <w:rFonts w:hint="eastAsia"/>
          <w:sz w:val="24"/>
          <w:szCs w:val="24"/>
        </w:rPr>
        <w:t>“一带一路”沿线国家</w:t>
      </w:r>
      <w:r w:rsidR="002A4392">
        <w:rPr>
          <w:rFonts w:hint="eastAsia"/>
          <w:sz w:val="24"/>
          <w:szCs w:val="24"/>
        </w:rPr>
        <w:t>社会就业状况发展恢复力</w:t>
      </w:r>
      <w:r w:rsidRPr="00A92E61">
        <w:rPr>
          <w:rFonts w:hint="eastAsia"/>
          <w:sz w:val="24"/>
          <w:szCs w:val="24"/>
        </w:rPr>
        <w:t>数据集对分析和对比当前各国</w:t>
      </w:r>
      <w:r>
        <w:rPr>
          <w:rFonts w:hint="eastAsia"/>
          <w:sz w:val="24"/>
          <w:szCs w:val="24"/>
        </w:rPr>
        <w:t>人口数量增长</w:t>
      </w:r>
      <w:r w:rsidRPr="00A92E61">
        <w:rPr>
          <w:rFonts w:hint="eastAsia"/>
          <w:sz w:val="24"/>
          <w:szCs w:val="24"/>
        </w:rPr>
        <w:t>的恢复力状况具有重要参考意义。</w:t>
      </w:r>
    </w:p>
    <w:bookmarkEnd w:id="0"/>
    <w:p w14:paraId="6B8BB1ED" w14:textId="77777777" w:rsidR="002D6F1B" w:rsidRPr="002D6F1B" w:rsidRDefault="002D6F1B" w:rsidP="002D6F1B">
      <w:pPr>
        <w:spacing w:line="360" w:lineRule="auto"/>
        <w:ind w:firstLineChars="200" w:firstLine="480"/>
        <w:rPr>
          <w:sz w:val="24"/>
          <w:szCs w:val="24"/>
        </w:rPr>
      </w:pPr>
    </w:p>
    <w:p w14:paraId="7F364569" w14:textId="2942322D" w:rsidR="002D6F1B" w:rsidRPr="002D6F1B" w:rsidRDefault="002D6F1B" w:rsidP="002D6F1B">
      <w:pPr>
        <w:spacing w:line="360" w:lineRule="auto"/>
        <w:rPr>
          <w:b/>
          <w:sz w:val="24"/>
          <w:szCs w:val="24"/>
        </w:rPr>
      </w:pPr>
      <w:r w:rsidRPr="002D6F1B">
        <w:rPr>
          <w:b/>
          <w:sz w:val="24"/>
          <w:szCs w:val="24"/>
        </w:rPr>
        <w:t>数据制备方法：</w:t>
      </w:r>
    </w:p>
    <w:p w14:paraId="1F285340" w14:textId="764855BA" w:rsidR="002D6F1B" w:rsidRPr="005D120E" w:rsidRDefault="00A41867" w:rsidP="002D6F1B">
      <w:pPr>
        <w:pStyle w:val="af"/>
        <w:spacing w:after="0"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系统</w:t>
      </w:r>
      <w:r w:rsidR="002D6F1B" w:rsidRPr="002D6F1B">
        <w:rPr>
          <w:rFonts w:hint="eastAsia"/>
          <w:sz w:val="24"/>
        </w:rPr>
        <w:t>恢复力</w:t>
      </w:r>
      <w:r w:rsidR="002D6F1B" w:rsidRPr="005D120E">
        <w:rPr>
          <w:rFonts w:hint="eastAsia"/>
          <w:sz w:val="24"/>
        </w:rPr>
        <w:t>取决于系统在外部干扰影响下的敏感性和适应性，是敏感性和适应能力的函数，可表达为</w:t>
      </w:r>
      <w:r w:rsidR="002D6F1B" w:rsidRPr="005D120E">
        <w:rPr>
          <w:rFonts w:hint="eastAsia"/>
          <w:sz w:val="24"/>
        </w:rPr>
        <w:t>:</w:t>
      </w:r>
    </w:p>
    <w:p w14:paraId="690E782B" w14:textId="1961883C" w:rsidR="002D6F1B" w:rsidRPr="005D120E" w:rsidRDefault="002D6F1B" w:rsidP="002D6F1B">
      <w:pPr>
        <w:pStyle w:val="af"/>
        <w:spacing w:after="0" w:line="360" w:lineRule="auto"/>
        <w:ind w:firstLineChars="200" w:firstLine="480"/>
        <w:jc w:val="center"/>
        <w:rPr>
          <w:sz w:val="24"/>
        </w:rPr>
      </w:pPr>
      <m:oMathPara>
        <m:oMath>
          <m:r>
            <m:rPr>
              <m:sty m:val="p"/>
            </m:rPr>
            <w:rPr>
              <w:rFonts w:ascii="Cambria Math" w:hAnsi="Cambria Math" w:hint="eastAsia"/>
              <w:sz w:val="24"/>
            </w:rPr>
            <m:t>R</m:t>
          </m:r>
          <m:r>
            <m:rPr>
              <m:sty m:val="p"/>
            </m:rPr>
            <w:rPr>
              <w:rFonts w:ascii="Cambria Math" w:hAnsi="Cambria Math"/>
              <w:sz w:val="24"/>
            </w:rPr>
            <m:t>=A-S</m:t>
          </m:r>
        </m:oMath>
      </m:oMathPara>
    </w:p>
    <w:p w14:paraId="6B24F31E" w14:textId="7AD04597" w:rsidR="002D6F1B" w:rsidRPr="005D120E" w:rsidRDefault="002D6F1B" w:rsidP="002D6F1B">
      <w:pPr>
        <w:widowControl/>
        <w:spacing w:line="360" w:lineRule="auto"/>
        <w:jc w:val="left"/>
        <w:rPr>
          <w:sz w:val="24"/>
        </w:rPr>
      </w:pPr>
      <w:r w:rsidRPr="005D120E">
        <w:rPr>
          <w:rFonts w:hint="eastAsia"/>
          <w:sz w:val="24"/>
        </w:rPr>
        <w:t>式中</w:t>
      </w:r>
      <w:r w:rsidRPr="005D120E">
        <w:rPr>
          <w:rFonts w:hint="eastAsia"/>
          <w:sz w:val="24"/>
        </w:rPr>
        <w:t xml:space="preserve">: </w:t>
      </w:r>
      <w:r>
        <w:rPr>
          <w:rFonts w:hint="eastAsia"/>
          <w:sz w:val="24"/>
        </w:rPr>
        <w:t>R</w:t>
      </w:r>
      <w:r w:rsidRPr="005D120E">
        <w:rPr>
          <w:rFonts w:hint="eastAsia"/>
          <w:sz w:val="24"/>
        </w:rPr>
        <w:t>（</w:t>
      </w:r>
      <w:r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>R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esilience</w:t>
      </w:r>
      <w:r w:rsidRPr="005D120E">
        <w:rPr>
          <w:rFonts w:hint="eastAsia"/>
          <w:sz w:val="24"/>
        </w:rPr>
        <w:t>）为系统</w:t>
      </w:r>
      <w:r>
        <w:rPr>
          <w:rFonts w:hint="eastAsia"/>
          <w:sz w:val="24"/>
        </w:rPr>
        <w:t>恢复力</w:t>
      </w:r>
      <w:r w:rsidRPr="005D120E">
        <w:rPr>
          <w:rFonts w:hint="eastAsia"/>
          <w:sz w:val="24"/>
        </w:rPr>
        <w:t>，</w:t>
      </w:r>
      <w:r w:rsidRPr="005D120E">
        <w:rPr>
          <w:rFonts w:hint="eastAsia"/>
          <w:sz w:val="24"/>
        </w:rPr>
        <w:t>S</w:t>
      </w:r>
      <w:r w:rsidRPr="005D120E">
        <w:rPr>
          <w:rFonts w:hint="eastAsia"/>
          <w:sz w:val="24"/>
        </w:rPr>
        <w:t>（</w:t>
      </w:r>
      <w:r w:rsidRPr="005D120E">
        <w:rPr>
          <w:sz w:val="24"/>
        </w:rPr>
        <w:t>Sensitivity</w:t>
      </w:r>
      <w:r w:rsidRPr="005D120E">
        <w:rPr>
          <w:rFonts w:hint="eastAsia"/>
          <w:sz w:val="24"/>
        </w:rPr>
        <w:t>）为系统敏感性，</w:t>
      </w:r>
      <w:r w:rsidRPr="005D120E">
        <w:rPr>
          <w:rFonts w:hint="eastAsia"/>
          <w:sz w:val="24"/>
        </w:rPr>
        <w:t>A</w:t>
      </w:r>
      <w:r w:rsidRPr="005D120E">
        <w:rPr>
          <w:rFonts w:hint="eastAsia"/>
          <w:sz w:val="24"/>
        </w:rPr>
        <w:t>（</w:t>
      </w:r>
      <w:r w:rsidRPr="005D120E">
        <w:rPr>
          <w:sz w:val="24"/>
        </w:rPr>
        <w:t>Adaptation</w:t>
      </w:r>
      <w:r w:rsidRPr="005D120E">
        <w:rPr>
          <w:rFonts w:hint="eastAsia"/>
          <w:sz w:val="24"/>
        </w:rPr>
        <w:t>）为系统适应性。可见，</w:t>
      </w:r>
      <w:r>
        <w:rPr>
          <w:rFonts w:hint="eastAsia"/>
          <w:sz w:val="24"/>
        </w:rPr>
        <w:t>恢复力</w:t>
      </w:r>
      <w:r w:rsidRPr="005D120E">
        <w:rPr>
          <w:rFonts w:hint="eastAsia"/>
          <w:sz w:val="24"/>
        </w:rPr>
        <w:t>与适应性呈正相关，与敏感性呈负相关。</w:t>
      </w:r>
    </w:p>
    <w:p w14:paraId="3C3FB5BF" w14:textId="230AAC5E" w:rsidR="002D6F1B" w:rsidRPr="005D120E" w:rsidRDefault="002D6F1B" w:rsidP="002D6F1B">
      <w:pPr>
        <w:widowControl/>
        <w:spacing w:line="360" w:lineRule="auto"/>
        <w:ind w:firstLineChars="200" w:firstLine="480"/>
        <w:jc w:val="left"/>
        <w:rPr>
          <w:sz w:val="24"/>
        </w:rPr>
      </w:pPr>
      <w:r w:rsidRPr="005D120E">
        <w:rPr>
          <w:rFonts w:hint="eastAsia"/>
          <w:sz w:val="24"/>
        </w:rPr>
        <w:t>敏感性以系统某一功能特征量（指标）的年际波动情况（变率）来表示，计算公式如下：</w:t>
      </w:r>
    </w:p>
    <w:p w14:paraId="732C3727" w14:textId="77777777" w:rsidR="002D6F1B" w:rsidRPr="005D120E" w:rsidRDefault="002D6F1B" w:rsidP="002D6F1B">
      <w:pPr>
        <w:pStyle w:val="af"/>
        <w:spacing w:after="0" w:line="360" w:lineRule="auto"/>
        <w:ind w:firstLineChars="200" w:firstLine="480"/>
        <w:jc w:val="center"/>
      </w:pPr>
      <m:oMathPara>
        <m:oMath>
          <m:r>
            <m:rPr>
              <m:sty m:val="p"/>
            </m:rPr>
            <w:rPr>
              <w:rFonts w:ascii="Cambria Math" w:hAnsi="Cambria Math" w:hint="eastAsia"/>
              <w:sz w:val="24"/>
            </w:rPr>
            <m:t>S</m:t>
          </m:r>
          <m:r>
            <m:rPr>
              <m:sty m:val="p"/>
            </m:rP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eastAsia="Cambria Math" w:hAnsi="Cambria Math"/>
                  <w:sz w:val="24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eastAsia="Cambria Math" w:hAnsi="Cambria Math"/>
                      <w:i/>
                      <w:sz w:val="24"/>
                    </w:rPr>
                  </m:ctrlPr>
                </m:naryPr>
                <m:sub>
                  <m:r>
                    <w:rPr>
                      <w:rFonts w:ascii="Cambria Math" w:eastAsia="Cambria Math" w:hAnsi="Cambria Math"/>
                      <w:sz w:val="24"/>
                    </w:rPr>
                    <m:t>i=1</m:t>
                  </m:r>
                </m:sub>
                <m:sup>
                  <m:r>
                    <w:rPr>
                      <w:rFonts w:ascii="Cambria Math" w:eastAsia="Cambria Math" w:hAnsi="Cambria Math"/>
                      <w:sz w:val="24"/>
                    </w:rPr>
                    <m:t>n</m:t>
                  </m:r>
                </m:sup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="Cambria Math" w:hAnsi="Cambria Math"/>
                          <w:i/>
                          <w:sz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Cambria Math" w:hAnsi="Cambria Math"/>
                              <w:i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/>
                              <w:sz w:val="24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/>
                              <w:sz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="Cambria Math" w:hAnsi="Cambria Math"/>
                          <w:sz w:val="24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eastAsia="Cambria Math" w:hAnsi="Cambria Math"/>
                              <w:i/>
                              <w:sz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Cambria Math" w:hAnsi="Cambria Math"/>
                              <w:sz w:val="24"/>
                            </w:rPr>
                            <m:t>F</m:t>
                          </m:r>
                        </m:e>
                      </m:acc>
                    </m:e>
                  </m:d>
                </m:e>
              </m:nary>
            </m:num>
            <m:den>
              <m:acc>
                <m:accPr>
                  <m:chr m:val="̅"/>
                  <m:ctrlPr>
                    <w:rPr>
                      <w:rFonts w:ascii="Cambria Math" w:eastAsia="Cambria Math" w:hAnsi="Cambria Math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eastAsia="Cambria Math" w:hAnsi="Cambria Math"/>
                      <w:sz w:val="24"/>
                    </w:rPr>
                    <m:t>F</m:t>
                  </m:r>
                </m:e>
              </m:acc>
            </m:den>
          </m:f>
        </m:oMath>
      </m:oMathPara>
    </w:p>
    <w:p w14:paraId="024CBA0C" w14:textId="77777777" w:rsidR="002D6F1B" w:rsidRPr="005D120E" w:rsidRDefault="002D6F1B" w:rsidP="002D6F1B">
      <w:pPr>
        <w:widowControl/>
        <w:spacing w:line="360" w:lineRule="auto"/>
        <w:jc w:val="left"/>
        <w:rPr>
          <w:sz w:val="24"/>
        </w:rPr>
      </w:pPr>
      <w:r w:rsidRPr="005D120E">
        <w:rPr>
          <w:rFonts w:hint="eastAsia"/>
          <w:sz w:val="24"/>
        </w:rPr>
        <w:t>式中：</w:t>
      </w:r>
      <w:r w:rsidRPr="005D120E">
        <w:rPr>
          <w:rFonts w:hint="eastAsia"/>
          <w:sz w:val="24"/>
        </w:rPr>
        <w:t>S</w:t>
      </w:r>
      <w:r w:rsidRPr="005D120E">
        <w:rPr>
          <w:rFonts w:hint="eastAsia"/>
          <w:sz w:val="24"/>
        </w:rPr>
        <w:t>表示某一功能特征量（指标）的敏感性，反应了该功能特征量（指标）相对特定时间内平均值的离散程度，</w:t>
      </w:r>
      <m:oMath>
        <m:sSub>
          <m:sSubPr>
            <m:ctrlPr>
              <w:rPr>
                <w:rFonts w:ascii="Cambria Math" w:eastAsia="Cambria Math" w:hAnsi="Cambria Math"/>
                <w:i/>
                <w:sz w:val="24"/>
              </w:rPr>
            </m:ctrlPr>
          </m:sSubPr>
          <m:e>
            <m:r>
              <w:rPr>
                <w:rFonts w:ascii="Cambria Math" w:eastAsia="Cambria Math" w:hAnsi="Cambria Math"/>
                <w:sz w:val="24"/>
              </w:rPr>
              <m:t>F</m:t>
            </m:r>
          </m:e>
          <m:sub>
            <m:r>
              <w:rPr>
                <w:rFonts w:ascii="Cambria Math" w:eastAsia="Cambria Math" w:hAnsi="Cambria Math"/>
                <w:sz w:val="24"/>
              </w:rPr>
              <m:t>i</m:t>
            </m:r>
          </m:sub>
        </m:sSub>
      </m:oMath>
      <w:r w:rsidRPr="005D120E">
        <w:rPr>
          <w:rFonts w:hint="eastAsia"/>
          <w:sz w:val="24"/>
        </w:rPr>
        <w:t>表示该功能特征量（指标）在第</w:t>
      </w:r>
      <w:proofErr w:type="spellStart"/>
      <w:r w:rsidRPr="005D120E">
        <w:rPr>
          <w:rFonts w:hint="eastAsia"/>
          <w:sz w:val="24"/>
        </w:rPr>
        <w:t>i</w:t>
      </w:r>
      <w:proofErr w:type="spellEnd"/>
      <w:r w:rsidRPr="005D120E">
        <w:rPr>
          <w:rFonts w:hint="eastAsia"/>
          <w:sz w:val="24"/>
        </w:rPr>
        <w:t>年的值</w:t>
      </w:r>
      <w:r w:rsidRPr="005D120E">
        <w:rPr>
          <w:sz w:val="24"/>
        </w:rPr>
        <w:t>（</w:t>
      </w:r>
      <w:r w:rsidRPr="005D120E">
        <w:rPr>
          <w:sz w:val="24"/>
        </w:rPr>
        <w:t>n=</w:t>
      </w:r>
      <w:r w:rsidRPr="005D120E">
        <w:rPr>
          <w:sz w:val="24"/>
        </w:rPr>
        <w:t>时间段）</w:t>
      </w:r>
      <w:r w:rsidRPr="005D120E">
        <w:rPr>
          <w:rFonts w:hint="eastAsia"/>
          <w:sz w:val="24"/>
        </w:rPr>
        <w:t>；</w:t>
      </w:r>
      <m:oMath>
        <m:acc>
          <m:accPr>
            <m:chr m:val="̅"/>
            <m:ctrlPr>
              <w:rPr>
                <w:rFonts w:ascii="Cambria Math" w:eastAsia="Cambria Math" w:hAnsi="Cambria Math"/>
                <w:i/>
                <w:sz w:val="24"/>
              </w:rPr>
            </m:ctrlPr>
          </m:accPr>
          <m:e>
            <m:r>
              <w:rPr>
                <w:rFonts w:ascii="Cambria Math" w:eastAsia="Cambria Math" w:hAnsi="Cambria Math"/>
                <w:sz w:val="24"/>
              </w:rPr>
              <m:t>F</m:t>
            </m:r>
          </m:e>
        </m:acc>
      </m:oMath>
      <w:r w:rsidRPr="005D120E">
        <w:rPr>
          <w:rFonts w:hint="eastAsia"/>
          <w:sz w:val="24"/>
        </w:rPr>
        <w:t xml:space="preserve"> </w:t>
      </w:r>
      <w:r w:rsidRPr="005D120E">
        <w:rPr>
          <w:rFonts w:hint="eastAsia"/>
          <w:sz w:val="24"/>
        </w:rPr>
        <w:t>表示该功能特征量（指标）在</w:t>
      </w:r>
      <w:r w:rsidRPr="005D120E">
        <w:rPr>
          <w:rFonts w:hint="eastAsia"/>
          <w:sz w:val="24"/>
        </w:rPr>
        <w:t>n</w:t>
      </w:r>
      <w:r w:rsidRPr="005D120E">
        <w:rPr>
          <w:rFonts w:hint="eastAsia"/>
          <w:sz w:val="24"/>
        </w:rPr>
        <w:t>年间的平均值。</w:t>
      </w:r>
    </w:p>
    <w:p w14:paraId="548A20F8" w14:textId="77777777" w:rsidR="002D6F1B" w:rsidRPr="005D120E" w:rsidRDefault="002D6F1B" w:rsidP="002D6F1B">
      <w:pPr>
        <w:pStyle w:val="af"/>
        <w:spacing w:after="0" w:line="360" w:lineRule="auto"/>
        <w:ind w:firstLineChars="200" w:firstLine="480"/>
        <w:rPr>
          <w:sz w:val="24"/>
        </w:rPr>
      </w:pPr>
      <w:r w:rsidRPr="005D120E">
        <w:rPr>
          <w:sz w:val="24"/>
        </w:rPr>
        <w:t>适应性</w:t>
      </w:r>
      <w:r w:rsidRPr="005D120E">
        <w:rPr>
          <w:rFonts w:hint="eastAsia"/>
          <w:sz w:val="24"/>
        </w:rPr>
        <w:t>可以用系统某一功能特征量（指标）年际变率的线性拟合趋势线斜率来表示，计算公式如下：</w:t>
      </w:r>
    </w:p>
    <w:p w14:paraId="521FB64B" w14:textId="77777777" w:rsidR="002D6F1B" w:rsidRPr="005D120E" w:rsidRDefault="002D6F1B" w:rsidP="002D6F1B">
      <w:pPr>
        <w:pStyle w:val="af"/>
        <w:spacing w:after="0" w:line="360" w:lineRule="auto"/>
        <w:jc w:val="center"/>
        <w:rPr>
          <w:sz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</w:rPr>
            <m:t>y=</m:t>
          </m:r>
          <m:r>
            <m:rPr>
              <m:sty m:val="p"/>
            </m:rPr>
            <w:rPr>
              <w:rFonts w:ascii="Cambria Math" w:hAnsi="Cambria Math" w:hint="eastAsia"/>
              <w:sz w:val="24"/>
            </w:rPr>
            <m:t>A</m:t>
          </m:r>
          <m:r>
            <w:rPr>
              <w:rFonts w:ascii="Cambria Math" w:hAnsi="Cambria Math"/>
              <w:sz w:val="24"/>
            </w:rPr>
            <m:t>x</m:t>
          </m:r>
          <m:r>
            <m:rPr>
              <m:sty m:val="p"/>
            </m:rPr>
            <w:rPr>
              <w:rFonts w:ascii="Cambria Math" w:hAnsi="Cambria Math"/>
              <w:sz w:val="24"/>
            </w:rPr>
            <m:t>+</m:t>
          </m:r>
          <m:r>
            <m:rPr>
              <m:sty m:val="p"/>
            </m:rPr>
            <w:rPr>
              <w:rFonts w:ascii="Cambria Math" w:hAnsi="Cambria Math" w:hint="eastAsia"/>
              <w:sz w:val="24"/>
            </w:rPr>
            <m:t>B</m:t>
          </m:r>
        </m:oMath>
      </m:oMathPara>
    </w:p>
    <w:p w14:paraId="25A130D1" w14:textId="77777777" w:rsidR="002D6F1B" w:rsidRPr="005D120E" w:rsidRDefault="002D6F1B" w:rsidP="002D6F1B">
      <w:pPr>
        <w:pStyle w:val="af"/>
        <w:spacing w:after="0" w:line="360" w:lineRule="auto"/>
        <w:rPr>
          <w:sz w:val="24"/>
        </w:rPr>
      </w:pPr>
      <w:r w:rsidRPr="005D120E">
        <w:rPr>
          <w:sz w:val="24"/>
        </w:rPr>
        <w:t>式中</w:t>
      </w:r>
      <w:r w:rsidRPr="005D120E">
        <w:rPr>
          <w:sz w:val="24"/>
        </w:rPr>
        <w:t>x</w:t>
      </w:r>
      <w:r w:rsidRPr="005D120E">
        <w:rPr>
          <w:sz w:val="24"/>
        </w:rPr>
        <w:t>为</w:t>
      </w:r>
      <w:r w:rsidRPr="005D120E">
        <w:rPr>
          <w:rFonts w:hint="eastAsia"/>
          <w:sz w:val="24"/>
        </w:rPr>
        <w:t>时间</w:t>
      </w:r>
      <w:r w:rsidRPr="005D120E">
        <w:rPr>
          <w:sz w:val="24"/>
        </w:rPr>
        <w:t>序列，</w:t>
      </w:r>
      <w:r w:rsidRPr="005D120E">
        <w:rPr>
          <w:rFonts w:hint="eastAsia"/>
          <w:sz w:val="24"/>
        </w:rPr>
        <w:t xml:space="preserve">y </w:t>
      </w:r>
      <w:r w:rsidRPr="005D120E">
        <w:rPr>
          <w:rFonts w:hint="eastAsia"/>
          <w:sz w:val="24"/>
        </w:rPr>
        <w:t>为该功能特征量（指标）的年际值</w:t>
      </w:r>
      <w:r w:rsidRPr="005D120E">
        <w:rPr>
          <w:rFonts w:hint="eastAsia"/>
          <w:sz w:val="24"/>
        </w:rPr>
        <w:t xml:space="preserve">; A </w:t>
      </w:r>
      <w:r w:rsidRPr="005D120E">
        <w:rPr>
          <w:rFonts w:hint="eastAsia"/>
          <w:sz w:val="24"/>
        </w:rPr>
        <w:t>为该功能特征量（指</w:t>
      </w:r>
      <w:r w:rsidRPr="005D120E">
        <w:rPr>
          <w:rFonts w:hint="eastAsia"/>
          <w:sz w:val="24"/>
        </w:rPr>
        <w:lastRenderedPageBreak/>
        <w:t>标）年际变率的变化趋势，是数据组</w:t>
      </w:r>
      <w:r w:rsidRPr="005D120E">
        <w:rPr>
          <w:rFonts w:hint="eastAsia"/>
          <w:sz w:val="24"/>
        </w:rPr>
        <w:t xml:space="preserve">y </w:t>
      </w:r>
      <w:r w:rsidRPr="005D120E">
        <w:rPr>
          <w:rFonts w:hint="eastAsia"/>
          <w:sz w:val="24"/>
        </w:rPr>
        <w:t>和</w:t>
      </w:r>
      <w:r w:rsidRPr="005D120E">
        <w:rPr>
          <w:rFonts w:hint="eastAsia"/>
          <w:sz w:val="24"/>
        </w:rPr>
        <w:t xml:space="preserve">x </w:t>
      </w:r>
      <w:r w:rsidRPr="005D120E">
        <w:rPr>
          <w:rFonts w:hint="eastAsia"/>
          <w:sz w:val="24"/>
        </w:rPr>
        <w:t>的回归斜率，反应了该功能特征量（指标）的适应性</w:t>
      </w:r>
      <w:r w:rsidRPr="005D120E">
        <w:rPr>
          <w:rFonts w:hint="eastAsia"/>
          <w:sz w:val="24"/>
        </w:rPr>
        <w:t>; B</w:t>
      </w:r>
      <w:r w:rsidRPr="005D120E">
        <w:rPr>
          <w:rFonts w:hint="eastAsia"/>
          <w:sz w:val="24"/>
        </w:rPr>
        <w:t>为截距。斜率</w:t>
      </w:r>
      <w:r w:rsidRPr="005D120E">
        <w:rPr>
          <w:rFonts w:hint="eastAsia"/>
          <w:sz w:val="24"/>
        </w:rPr>
        <w:t>A</w:t>
      </w:r>
      <w:r w:rsidRPr="005D120E">
        <w:rPr>
          <w:rFonts w:hint="eastAsia"/>
          <w:sz w:val="24"/>
        </w:rPr>
        <w:t>的计算公式为：</w:t>
      </w:r>
    </w:p>
    <w:p w14:paraId="33DA8609" w14:textId="77777777" w:rsidR="002D6F1B" w:rsidRPr="005D120E" w:rsidRDefault="002D6F1B" w:rsidP="002D6F1B">
      <w:pPr>
        <w:pStyle w:val="af"/>
        <w:spacing w:after="0" w:line="360" w:lineRule="auto"/>
        <w:jc w:val="center"/>
        <w:rPr>
          <w:sz w:val="24"/>
        </w:rPr>
      </w:pPr>
      <m:oMathPara>
        <m:oMath>
          <m:r>
            <m:rPr>
              <m:sty m:val="p"/>
            </m:rPr>
            <w:rPr>
              <w:rFonts w:ascii="Cambria Math" w:hAnsi="Cambria Math" w:hint="eastAsia"/>
              <w:sz w:val="24"/>
            </w:rPr>
            <m:t>A</m:t>
          </m:r>
          <m:r>
            <m:rPr>
              <m:sty m:val="p"/>
            </m:rP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n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sz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4"/>
                    </w:rPr>
                    <m:t>xy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sz w:val="24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/>
                              <w:sz w:val="24"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x</m:t>
                          </m:r>
                        </m:e>
                      </m:nary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sz w:val="24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/>
                              <w:sz w:val="24"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y</m:t>
                          </m:r>
                        </m:e>
                      </m:nary>
                    </m:e>
                  </m:d>
                </m:e>
              </m:nary>
            </m:num>
            <m:den>
              <m:r>
                <w:rPr>
                  <w:rFonts w:ascii="Cambria Math" w:hAnsi="Cambria Math"/>
                  <w:sz w:val="24"/>
                </w:rPr>
                <m:t>n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sz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</m:e>
              </m:nary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 w:val="24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/>
                              <w:sz w:val="24"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x</m:t>
                          </m:r>
                        </m:e>
                      </m:nary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den>
          </m:f>
        </m:oMath>
      </m:oMathPara>
    </w:p>
    <w:p w14:paraId="6154E561" w14:textId="2C7A1EC5" w:rsidR="002D6F1B" w:rsidRDefault="00A41867" w:rsidP="00A41867">
      <w:pPr>
        <w:spacing w:line="360" w:lineRule="auto"/>
        <w:ind w:firstLineChars="200" w:firstLine="480"/>
        <w:rPr>
          <w:sz w:val="24"/>
        </w:rPr>
      </w:pPr>
      <w:r w:rsidRPr="002D6F1B">
        <w:rPr>
          <w:rFonts w:hint="eastAsia"/>
          <w:sz w:val="24"/>
          <w:szCs w:val="24"/>
        </w:rPr>
        <w:t>“一带一路”沿线国家</w:t>
      </w:r>
      <w:r w:rsidR="002A4392">
        <w:rPr>
          <w:rFonts w:hint="eastAsia"/>
          <w:sz w:val="24"/>
          <w:szCs w:val="24"/>
        </w:rPr>
        <w:t>社会就业状况发展恢复力</w:t>
      </w:r>
      <w:r w:rsidR="00A92E61" w:rsidRPr="00A92E61">
        <w:rPr>
          <w:rFonts w:hint="eastAsia"/>
          <w:sz w:val="24"/>
          <w:szCs w:val="24"/>
        </w:rPr>
        <w:t>数据产品制备参考了世界银行统计数据库，利用</w:t>
      </w:r>
      <w:r w:rsidR="00A92E61" w:rsidRPr="00A92E61">
        <w:rPr>
          <w:rFonts w:hint="eastAsia"/>
          <w:sz w:val="24"/>
          <w:szCs w:val="24"/>
        </w:rPr>
        <w:t>2000-2019</w:t>
      </w:r>
      <w:r w:rsidR="00A92E61" w:rsidRPr="00A92E61">
        <w:rPr>
          <w:rFonts w:hint="eastAsia"/>
          <w:sz w:val="24"/>
          <w:szCs w:val="24"/>
        </w:rPr>
        <w:t>年“一带一路”沿线国家</w:t>
      </w:r>
      <w:r w:rsidR="00BE1B05" w:rsidRPr="00BE1B05">
        <w:rPr>
          <w:rFonts w:hint="eastAsia"/>
          <w:sz w:val="24"/>
          <w:szCs w:val="24"/>
        </w:rPr>
        <w:t>总失业人数占劳动力总数的比例</w:t>
      </w:r>
      <w:r w:rsidR="00A92E61" w:rsidRPr="00A92E61">
        <w:rPr>
          <w:rFonts w:hint="eastAsia"/>
          <w:sz w:val="24"/>
          <w:szCs w:val="24"/>
        </w:rPr>
        <w:t>这一指标的逐年数据，在考虑各指标逐年变化的基础上，基于敏感性和适应性分析，通过综合诊断，制备生成了</w:t>
      </w:r>
      <w:r w:rsidR="002A4392">
        <w:rPr>
          <w:rFonts w:hint="eastAsia"/>
          <w:sz w:val="24"/>
          <w:szCs w:val="24"/>
        </w:rPr>
        <w:t>社会就业状况发展恢复力</w:t>
      </w:r>
      <w:r w:rsidR="00A92E61" w:rsidRPr="00A92E61">
        <w:rPr>
          <w:rFonts w:hint="eastAsia"/>
          <w:sz w:val="24"/>
          <w:szCs w:val="24"/>
        </w:rPr>
        <w:t>产品</w:t>
      </w:r>
      <w:r w:rsidRPr="002D6F1B">
        <w:rPr>
          <w:rFonts w:hint="eastAsia"/>
          <w:sz w:val="24"/>
          <w:szCs w:val="24"/>
        </w:rPr>
        <w:t>。</w:t>
      </w:r>
      <w:r w:rsidR="002D6F1B" w:rsidRPr="005D120E">
        <w:rPr>
          <w:rFonts w:hint="eastAsia"/>
          <w:sz w:val="24"/>
        </w:rPr>
        <w:t>在计算过程中，由于各个地区</w:t>
      </w:r>
      <w:r w:rsidRPr="002D6F1B">
        <w:rPr>
          <w:rFonts w:hint="eastAsia"/>
          <w:sz w:val="24"/>
          <w:szCs w:val="24"/>
        </w:rPr>
        <w:t>恢复力</w:t>
      </w:r>
      <w:r w:rsidR="002D6F1B" w:rsidRPr="005D120E">
        <w:rPr>
          <w:rFonts w:hint="eastAsia"/>
          <w:sz w:val="24"/>
        </w:rPr>
        <w:t>的高低都是相对的，因此根据前面公式计算的敏感性和适应性未必在同一量纲，为分析</w:t>
      </w:r>
      <w:r w:rsidRPr="002D6F1B">
        <w:rPr>
          <w:rFonts w:hint="eastAsia"/>
          <w:sz w:val="24"/>
          <w:szCs w:val="24"/>
        </w:rPr>
        <w:t>恢复力</w:t>
      </w:r>
      <w:r w:rsidR="002D6F1B" w:rsidRPr="005D120E">
        <w:rPr>
          <w:rFonts w:hint="eastAsia"/>
          <w:sz w:val="24"/>
        </w:rPr>
        <w:t>的地区差异，需分别对敏感性和适应性的计算结果标准化后，然后再进行</w:t>
      </w:r>
      <w:r w:rsidRPr="002D6F1B">
        <w:rPr>
          <w:rFonts w:hint="eastAsia"/>
          <w:sz w:val="24"/>
          <w:szCs w:val="24"/>
        </w:rPr>
        <w:t>恢复力</w:t>
      </w:r>
      <w:r w:rsidR="002D6F1B" w:rsidRPr="005D120E">
        <w:rPr>
          <w:rFonts w:hint="eastAsia"/>
          <w:sz w:val="24"/>
        </w:rPr>
        <w:t>的计算。</w:t>
      </w:r>
    </w:p>
    <w:p w14:paraId="18244DF5" w14:textId="77777777" w:rsidR="00E144BF" w:rsidRDefault="00E144BF" w:rsidP="00A41867">
      <w:pPr>
        <w:spacing w:line="360" w:lineRule="auto"/>
        <w:ind w:firstLineChars="200" w:firstLine="480"/>
        <w:rPr>
          <w:sz w:val="24"/>
        </w:rPr>
      </w:pPr>
    </w:p>
    <w:p w14:paraId="1313A582" w14:textId="0E0F0AEA" w:rsidR="00A41867" w:rsidRPr="002D6F1B" w:rsidRDefault="00A41867" w:rsidP="00A41867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参考</w:t>
      </w:r>
      <w:r>
        <w:rPr>
          <w:b/>
          <w:sz w:val="24"/>
          <w:szCs w:val="24"/>
        </w:rPr>
        <w:t>文献</w:t>
      </w:r>
      <w:r w:rsidRPr="002D6F1B">
        <w:rPr>
          <w:b/>
          <w:sz w:val="24"/>
          <w:szCs w:val="24"/>
        </w:rPr>
        <w:t>：</w:t>
      </w:r>
    </w:p>
    <w:p w14:paraId="10C6E295" w14:textId="4CE016AE" w:rsidR="00A41867" w:rsidRPr="00A100BC" w:rsidRDefault="00E144BF" w:rsidP="00A41867">
      <w:pPr>
        <w:spacing w:line="360" w:lineRule="auto"/>
        <w:rPr>
          <w:szCs w:val="21"/>
        </w:rPr>
      </w:pPr>
      <w:r w:rsidRPr="00A100BC">
        <w:rPr>
          <w:rFonts w:hint="eastAsia"/>
          <w:szCs w:val="21"/>
        </w:rPr>
        <w:t>闫海明，战金艳，张韬</w:t>
      </w:r>
      <w:r w:rsidRPr="00A100BC">
        <w:rPr>
          <w:rFonts w:hint="eastAsia"/>
          <w:szCs w:val="21"/>
        </w:rPr>
        <w:t xml:space="preserve">. </w:t>
      </w:r>
      <w:r w:rsidRPr="00A100BC">
        <w:rPr>
          <w:rFonts w:hint="eastAsia"/>
          <w:szCs w:val="21"/>
        </w:rPr>
        <w:t>生态系统恢复力研究进展综述</w:t>
      </w:r>
      <w:r w:rsidRPr="00A100BC">
        <w:rPr>
          <w:rFonts w:hint="eastAsia"/>
          <w:szCs w:val="21"/>
        </w:rPr>
        <w:t xml:space="preserve">. </w:t>
      </w:r>
      <w:r w:rsidRPr="00A100BC">
        <w:rPr>
          <w:rFonts w:hint="eastAsia"/>
          <w:szCs w:val="21"/>
        </w:rPr>
        <w:t>地理科学进展</w:t>
      </w:r>
      <w:r w:rsidRPr="00A100BC">
        <w:rPr>
          <w:rFonts w:hint="eastAsia"/>
          <w:szCs w:val="21"/>
        </w:rPr>
        <w:t>. 2012,31(03):</w:t>
      </w:r>
      <w:r w:rsidR="00A100BC" w:rsidRPr="00A100BC">
        <w:rPr>
          <w:rFonts w:hint="eastAsia"/>
          <w:szCs w:val="21"/>
        </w:rPr>
        <w:t xml:space="preserve"> 303-314</w:t>
      </w:r>
    </w:p>
    <w:p w14:paraId="06E99528" w14:textId="77777777" w:rsidR="00A100BC" w:rsidRPr="00A100BC" w:rsidRDefault="00A100BC" w:rsidP="00A100BC">
      <w:pPr>
        <w:spacing w:line="360" w:lineRule="auto"/>
        <w:rPr>
          <w:szCs w:val="21"/>
        </w:rPr>
      </w:pPr>
      <w:r w:rsidRPr="00A100BC">
        <w:rPr>
          <w:rFonts w:hint="eastAsia"/>
          <w:szCs w:val="21"/>
        </w:rPr>
        <w:t>葛怡</w:t>
      </w:r>
      <w:r w:rsidRPr="00A100BC">
        <w:rPr>
          <w:rFonts w:hint="eastAsia"/>
          <w:szCs w:val="21"/>
        </w:rPr>
        <w:t>,</w:t>
      </w:r>
      <w:r w:rsidRPr="00A100BC">
        <w:rPr>
          <w:rFonts w:hint="eastAsia"/>
          <w:szCs w:val="21"/>
        </w:rPr>
        <w:t>史培军</w:t>
      </w:r>
      <w:r w:rsidRPr="00A100BC">
        <w:rPr>
          <w:rFonts w:hint="eastAsia"/>
          <w:szCs w:val="21"/>
        </w:rPr>
        <w:t>,</w:t>
      </w:r>
      <w:r w:rsidRPr="00A100BC">
        <w:rPr>
          <w:rFonts w:hint="eastAsia"/>
          <w:szCs w:val="21"/>
        </w:rPr>
        <w:t>徐伟等</w:t>
      </w:r>
      <w:r w:rsidRPr="00A100BC">
        <w:rPr>
          <w:rFonts w:hint="eastAsia"/>
          <w:szCs w:val="21"/>
        </w:rPr>
        <w:t>.</w:t>
      </w:r>
      <w:r w:rsidRPr="00A100BC">
        <w:rPr>
          <w:rFonts w:hint="eastAsia"/>
          <w:szCs w:val="21"/>
        </w:rPr>
        <w:t>恢复力研究的新进展与评述</w:t>
      </w:r>
      <w:r w:rsidRPr="00A100BC">
        <w:rPr>
          <w:rFonts w:hint="eastAsia"/>
          <w:szCs w:val="21"/>
        </w:rPr>
        <w:t>.</w:t>
      </w:r>
      <w:r w:rsidRPr="00A100BC">
        <w:rPr>
          <w:rFonts w:hint="eastAsia"/>
          <w:szCs w:val="21"/>
        </w:rPr>
        <w:t>灾害学</w:t>
      </w:r>
      <w:r w:rsidRPr="00A100BC">
        <w:rPr>
          <w:rFonts w:hint="eastAsia"/>
          <w:szCs w:val="21"/>
        </w:rPr>
        <w:t>. 2010,25(03):119-124</w:t>
      </w:r>
    </w:p>
    <w:p w14:paraId="4A0BDEB2" w14:textId="77777777" w:rsidR="00A100BC" w:rsidRPr="00A100BC" w:rsidRDefault="00A100BC" w:rsidP="00A100BC">
      <w:pPr>
        <w:spacing w:line="360" w:lineRule="auto"/>
        <w:rPr>
          <w:szCs w:val="21"/>
        </w:rPr>
      </w:pPr>
      <w:r w:rsidRPr="00A100BC">
        <w:rPr>
          <w:rFonts w:hint="eastAsia"/>
          <w:szCs w:val="21"/>
        </w:rPr>
        <w:t>王群</w:t>
      </w:r>
      <w:r w:rsidRPr="00A100BC">
        <w:rPr>
          <w:rFonts w:hint="eastAsia"/>
          <w:szCs w:val="21"/>
        </w:rPr>
        <w:t>,</w:t>
      </w:r>
      <w:r w:rsidRPr="00A100BC">
        <w:rPr>
          <w:rFonts w:hint="eastAsia"/>
          <w:szCs w:val="21"/>
        </w:rPr>
        <w:t>陆林</w:t>
      </w:r>
      <w:r w:rsidRPr="00A100BC">
        <w:rPr>
          <w:rFonts w:hint="eastAsia"/>
          <w:szCs w:val="21"/>
        </w:rPr>
        <w:t>,</w:t>
      </w:r>
      <w:proofErr w:type="gramStart"/>
      <w:r w:rsidRPr="00A100BC">
        <w:rPr>
          <w:rFonts w:hint="eastAsia"/>
          <w:szCs w:val="21"/>
        </w:rPr>
        <w:t>杨兴柱</w:t>
      </w:r>
      <w:proofErr w:type="gramEnd"/>
      <w:r w:rsidRPr="00A100BC">
        <w:rPr>
          <w:rFonts w:hint="eastAsia"/>
          <w:szCs w:val="21"/>
        </w:rPr>
        <w:t>.</w:t>
      </w:r>
      <w:r w:rsidRPr="00A100BC">
        <w:rPr>
          <w:rFonts w:hint="eastAsia"/>
          <w:szCs w:val="21"/>
        </w:rPr>
        <w:t>千岛</w:t>
      </w:r>
      <w:proofErr w:type="gramStart"/>
      <w:r w:rsidRPr="00A100BC">
        <w:rPr>
          <w:rFonts w:hint="eastAsia"/>
          <w:szCs w:val="21"/>
        </w:rPr>
        <w:t>湖社会</w:t>
      </w:r>
      <w:proofErr w:type="gramEnd"/>
      <w:r w:rsidRPr="00A100BC">
        <w:rPr>
          <w:rFonts w:hint="eastAsia"/>
          <w:szCs w:val="21"/>
        </w:rPr>
        <w:t>—生态系统恢复力测度与影响机理</w:t>
      </w:r>
      <w:r w:rsidRPr="00A100BC">
        <w:rPr>
          <w:rFonts w:hint="eastAsia"/>
          <w:szCs w:val="21"/>
        </w:rPr>
        <w:t>.</w:t>
      </w:r>
      <w:r w:rsidRPr="00A100BC">
        <w:rPr>
          <w:rFonts w:hint="eastAsia"/>
          <w:szCs w:val="21"/>
        </w:rPr>
        <w:t>地理学报</w:t>
      </w:r>
      <w:r w:rsidRPr="00A100BC">
        <w:rPr>
          <w:rFonts w:hint="eastAsia"/>
          <w:szCs w:val="21"/>
        </w:rPr>
        <w:t>. 2015,70(05):779-795</w:t>
      </w:r>
    </w:p>
    <w:p w14:paraId="446B3139" w14:textId="77777777" w:rsidR="00A100BC" w:rsidRPr="00A100BC" w:rsidRDefault="00A100BC" w:rsidP="00A100BC">
      <w:pPr>
        <w:spacing w:line="360" w:lineRule="auto"/>
        <w:rPr>
          <w:szCs w:val="21"/>
        </w:rPr>
      </w:pPr>
      <w:r w:rsidRPr="00A100BC">
        <w:rPr>
          <w:rFonts w:hint="eastAsia"/>
          <w:szCs w:val="21"/>
        </w:rPr>
        <w:t>郭永锐</w:t>
      </w:r>
      <w:r w:rsidRPr="00A100BC">
        <w:rPr>
          <w:rFonts w:hint="eastAsia"/>
          <w:szCs w:val="21"/>
        </w:rPr>
        <w:t>,</w:t>
      </w:r>
      <w:r w:rsidRPr="00A100BC">
        <w:rPr>
          <w:rFonts w:hint="eastAsia"/>
          <w:szCs w:val="21"/>
        </w:rPr>
        <w:t>张捷</w:t>
      </w:r>
      <w:r w:rsidRPr="00A100BC">
        <w:rPr>
          <w:rFonts w:hint="eastAsia"/>
          <w:szCs w:val="21"/>
        </w:rPr>
        <w:t>.</w:t>
      </w:r>
      <w:r w:rsidRPr="00A100BC">
        <w:rPr>
          <w:rFonts w:hint="eastAsia"/>
          <w:szCs w:val="21"/>
        </w:rPr>
        <w:t>社区恢复力研究进展及其地理学研究议题</w:t>
      </w:r>
      <w:r w:rsidRPr="00A100BC">
        <w:rPr>
          <w:rFonts w:hint="eastAsia"/>
          <w:szCs w:val="21"/>
        </w:rPr>
        <w:t>.</w:t>
      </w:r>
      <w:r w:rsidRPr="00A100BC">
        <w:rPr>
          <w:rFonts w:hint="eastAsia"/>
          <w:szCs w:val="21"/>
        </w:rPr>
        <w:t>地理科学进展</w:t>
      </w:r>
      <w:r w:rsidRPr="00A100BC">
        <w:rPr>
          <w:rFonts w:hint="eastAsia"/>
          <w:szCs w:val="21"/>
        </w:rPr>
        <w:t>. 2015,34(01):100-109</w:t>
      </w:r>
    </w:p>
    <w:p w14:paraId="0DC87808" w14:textId="5F4C3A63" w:rsidR="002D6F1B" w:rsidRPr="00A100BC" w:rsidRDefault="00A100BC" w:rsidP="00A100BC">
      <w:pPr>
        <w:spacing w:line="360" w:lineRule="auto"/>
        <w:rPr>
          <w:szCs w:val="21"/>
        </w:rPr>
      </w:pPr>
      <w:r w:rsidRPr="00A100BC">
        <w:rPr>
          <w:rFonts w:hint="eastAsia"/>
          <w:szCs w:val="21"/>
        </w:rPr>
        <w:t>张正昱</w:t>
      </w:r>
      <w:r w:rsidRPr="00A100BC">
        <w:rPr>
          <w:rFonts w:hint="eastAsia"/>
          <w:szCs w:val="21"/>
        </w:rPr>
        <w:t>,</w:t>
      </w:r>
      <w:r w:rsidRPr="00A100BC">
        <w:rPr>
          <w:rFonts w:hint="eastAsia"/>
          <w:szCs w:val="21"/>
        </w:rPr>
        <w:t>金贵</w:t>
      </w:r>
      <w:r w:rsidRPr="00A100BC">
        <w:rPr>
          <w:rFonts w:hint="eastAsia"/>
          <w:szCs w:val="21"/>
        </w:rPr>
        <w:t>,</w:t>
      </w:r>
      <w:r w:rsidRPr="00A100BC">
        <w:rPr>
          <w:rFonts w:hint="eastAsia"/>
          <w:szCs w:val="21"/>
        </w:rPr>
        <w:t>郭柏枢</w:t>
      </w:r>
      <w:r w:rsidRPr="00A100BC">
        <w:rPr>
          <w:rFonts w:hint="eastAsia"/>
          <w:szCs w:val="21"/>
        </w:rPr>
        <w:t>.</w:t>
      </w:r>
      <w:r w:rsidRPr="00A100BC">
        <w:rPr>
          <w:rFonts w:hint="eastAsia"/>
          <w:szCs w:val="21"/>
        </w:rPr>
        <w:t>基于多准则决策的长江经济带国土空间脆弱性与恢复力研究</w:t>
      </w:r>
      <w:r w:rsidRPr="00A100BC">
        <w:rPr>
          <w:rFonts w:hint="eastAsia"/>
          <w:szCs w:val="21"/>
        </w:rPr>
        <w:t>.</w:t>
      </w:r>
      <w:r w:rsidRPr="00A100BC">
        <w:rPr>
          <w:rFonts w:hint="eastAsia"/>
          <w:szCs w:val="21"/>
        </w:rPr>
        <w:t>自然资源学报</w:t>
      </w:r>
      <w:r w:rsidRPr="00A100BC">
        <w:rPr>
          <w:rFonts w:hint="eastAsia"/>
          <w:szCs w:val="21"/>
        </w:rPr>
        <w:t>. 2020,35(01):95-105</w:t>
      </w:r>
    </w:p>
    <w:p w14:paraId="10746D54" w14:textId="77777777" w:rsidR="00545449" w:rsidRPr="00CE4C9B" w:rsidRDefault="00545449" w:rsidP="00724678"/>
    <w:sectPr w:rsidR="00545449" w:rsidRPr="00CE4C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D026E" w14:textId="77777777" w:rsidR="003B712A" w:rsidRDefault="003B712A" w:rsidP="004518CB">
      <w:r>
        <w:separator/>
      </w:r>
    </w:p>
  </w:endnote>
  <w:endnote w:type="continuationSeparator" w:id="0">
    <w:p w14:paraId="1BB17037" w14:textId="77777777" w:rsidR="003B712A" w:rsidRDefault="003B712A" w:rsidP="0045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9EA7D" w14:textId="77777777" w:rsidR="003B712A" w:rsidRDefault="003B712A" w:rsidP="004518CB">
      <w:r>
        <w:separator/>
      </w:r>
    </w:p>
  </w:footnote>
  <w:footnote w:type="continuationSeparator" w:id="0">
    <w:p w14:paraId="4C1460E4" w14:textId="77777777" w:rsidR="003B712A" w:rsidRDefault="003B712A" w:rsidP="00451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421"/>
    <w:multiLevelType w:val="hybridMultilevel"/>
    <w:tmpl w:val="3BFA75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F042B5F"/>
    <w:multiLevelType w:val="hybridMultilevel"/>
    <w:tmpl w:val="07FCCE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942"/>
    <w:rsid w:val="000114B9"/>
    <w:rsid w:val="00154F0A"/>
    <w:rsid w:val="00170523"/>
    <w:rsid w:val="001D6AF6"/>
    <w:rsid w:val="002A4392"/>
    <w:rsid w:val="002D6F1B"/>
    <w:rsid w:val="003B712A"/>
    <w:rsid w:val="003D3902"/>
    <w:rsid w:val="004518CB"/>
    <w:rsid w:val="00513089"/>
    <w:rsid w:val="00545449"/>
    <w:rsid w:val="005C1D02"/>
    <w:rsid w:val="005C7726"/>
    <w:rsid w:val="005E538B"/>
    <w:rsid w:val="006005E2"/>
    <w:rsid w:val="00686E43"/>
    <w:rsid w:val="00724678"/>
    <w:rsid w:val="00784AAF"/>
    <w:rsid w:val="008F445D"/>
    <w:rsid w:val="00924276"/>
    <w:rsid w:val="00967CCA"/>
    <w:rsid w:val="00977286"/>
    <w:rsid w:val="00A100BC"/>
    <w:rsid w:val="00A41867"/>
    <w:rsid w:val="00A62DF6"/>
    <w:rsid w:val="00A6570E"/>
    <w:rsid w:val="00A92E61"/>
    <w:rsid w:val="00B0051F"/>
    <w:rsid w:val="00BB0CE6"/>
    <w:rsid w:val="00BD53D1"/>
    <w:rsid w:val="00BE1B05"/>
    <w:rsid w:val="00BF6942"/>
    <w:rsid w:val="00C706B9"/>
    <w:rsid w:val="00CA34C5"/>
    <w:rsid w:val="00CE4C9B"/>
    <w:rsid w:val="00D25570"/>
    <w:rsid w:val="00D25A20"/>
    <w:rsid w:val="00D63B3B"/>
    <w:rsid w:val="00DC5BC4"/>
    <w:rsid w:val="00DF6A22"/>
    <w:rsid w:val="00E144BF"/>
    <w:rsid w:val="00E421A8"/>
    <w:rsid w:val="00E91308"/>
    <w:rsid w:val="00ED47D9"/>
    <w:rsid w:val="00FA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666477"/>
  <w15:chartTrackingRefBased/>
  <w15:docId w15:val="{2DDA8FA1-FB4F-4509-B11C-5433F109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1A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421A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1A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21A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级标题"/>
    <w:basedOn w:val="1"/>
    <w:next w:val="a"/>
    <w:link w:val="a4"/>
    <w:qFormat/>
    <w:rsid w:val="00E421A8"/>
    <w:pPr>
      <w:spacing w:before="0" w:after="0" w:line="240" w:lineRule="auto"/>
    </w:pPr>
    <w:rPr>
      <w:rFonts w:ascii="宋体" w:hAnsi="宋体"/>
      <w:b w:val="0"/>
      <w:sz w:val="28"/>
      <w:szCs w:val="28"/>
    </w:rPr>
  </w:style>
  <w:style w:type="character" w:customStyle="1" w:styleId="a4">
    <w:name w:val="一级标题 字符"/>
    <w:basedOn w:val="10"/>
    <w:link w:val="a3"/>
    <w:rsid w:val="00E421A8"/>
    <w:rPr>
      <w:rFonts w:ascii="宋体" w:hAnsi="宋体"/>
      <w:b w:val="0"/>
      <w:bCs/>
      <w:kern w:val="44"/>
      <w:sz w:val="28"/>
      <w:szCs w:val="28"/>
    </w:rPr>
  </w:style>
  <w:style w:type="character" w:customStyle="1" w:styleId="10">
    <w:name w:val="标题 1 字符"/>
    <w:basedOn w:val="a0"/>
    <w:link w:val="1"/>
    <w:uiPriority w:val="9"/>
    <w:rsid w:val="00E421A8"/>
    <w:rPr>
      <w:b/>
      <w:bCs/>
      <w:kern w:val="44"/>
      <w:sz w:val="44"/>
      <w:szCs w:val="44"/>
    </w:rPr>
  </w:style>
  <w:style w:type="paragraph" w:customStyle="1" w:styleId="a5">
    <w:name w:val="二级标题"/>
    <w:basedOn w:val="2"/>
    <w:next w:val="a"/>
    <w:link w:val="a6"/>
    <w:qFormat/>
    <w:rsid w:val="00E421A8"/>
    <w:pPr>
      <w:spacing w:before="0" w:after="0" w:line="240" w:lineRule="auto"/>
    </w:pPr>
    <w:rPr>
      <w:rFonts w:ascii="宋体" w:eastAsia="宋体" w:hAnsi="宋体"/>
      <w:b w:val="0"/>
      <w:bCs w:val="0"/>
      <w:sz w:val="28"/>
      <w:szCs w:val="28"/>
    </w:rPr>
  </w:style>
  <w:style w:type="character" w:customStyle="1" w:styleId="a6">
    <w:name w:val="二级标题 字符"/>
    <w:basedOn w:val="20"/>
    <w:link w:val="a5"/>
    <w:rsid w:val="00E421A8"/>
    <w:rPr>
      <w:rFonts w:ascii="宋体" w:eastAsiaTheme="majorEastAsia" w:hAnsi="宋体" w:cstheme="majorBidi"/>
      <w:b w:val="0"/>
      <w:bCs w:val="0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E421A8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7">
    <w:name w:val="四级标题"/>
    <w:basedOn w:val="4"/>
    <w:next w:val="a"/>
    <w:link w:val="a8"/>
    <w:qFormat/>
    <w:rsid w:val="00E421A8"/>
    <w:pPr>
      <w:spacing w:before="0" w:after="0" w:line="240" w:lineRule="auto"/>
    </w:pPr>
    <w:rPr>
      <w:rFonts w:ascii="Times New Roman" w:eastAsia="宋体" w:hAnsi="Times New Roman" w:cs="Times New Roman"/>
      <w:b w:val="0"/>
      <w:bCs w:val="0"/>
      <w:sz w:val="24"/>
      <w:szCs w:val="24"/>
    </w:rPr>
  </w:style>
  <w:style w:type="character" w:customStyle="1" w:styleId="a8">
    <w:name w:val="四级标题 字符"/>
    <w:basedOn w:val="40"/>
    <w:link w:val="a7"/>
    <w:rsid w:val="00E421A8"/>
    <w:rPr>
      <w:rFonts w:asciiTheme="majorHAnsi" w:eastAsiaTheme="majorEastAsia" w:hAnsiTheme="majorHAnsi" w:cs="Times New Roman"/>
      <w:b w:val="0"/>
      <w:bCs w:val="0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rsid w:val="00E421A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51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4518CB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4518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4518CB"/>
    <w:rPr>
      <w:sz w:val="18"/>
      <w:szCs w:val="18"/>
    </w:rPr>
  </w:style>
  <w:style w:type="table" w:styleId="ad">
    <w:name w:val="Table Grid"/>
    <w:basedOn w:val="a1"/>
    <w:uiPriority w:val="39"/>
    <w:rsid w:val="00451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E4C9B"/>
    <w:pPr>
      <w:ind w:firstLineChars="200" w:firstLine="420"/>
    </w:pPr>
  </w:style>
  <w:style w:type="paragraph" w:styleId="af">
    <w:name w:val="Body Text"/>
    <w:basedOn w:val="a"/>
    <w:link w:val="af0"/>
    <w:uiPriority w:val="99"/>
    <w:unhideWhenUsed/>
    <w:qFormat/>
    <w:rsid w:val="002D6F1B"/>
    <w:pPr>
      <w:spacing w:after="120"/>
    </w:pPr>
    <w:rPr>
      <w:rFonts w:cs="Times New Roman"/>
      <w:sz w:val="28"/>
      <w:szCs w:val="24"/>
    </w:rPr>
  </w:style>
  <w:style w:type="character" w:customStyle="1" w:styleId="af0">
    <w:name w:val="正文文本 字符"/>
    <w:basedOn w:val="a0"/>
    <w:link w:val="af"/>
    <w:uiPriority w:val="99"/>
    <w:qFormat/>
    <w:rsid w:val="002D6F1B"/>
    <w:rPr>
      <w:rFonts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世豪</dc:creator>
  <cp:keywords/>
  <dc:description/>
  <cp:lastModifiedBy>王 世豪</cp:lastModifiedBy>
  <cp:revision>9</cp:revision>
  <dcterms:created xsi:type="dcterms:W3CDTF">2022-03-18T13:42:00Z</dcterms:created>
  <dcterms:modified xsi:type="dcterms:W3CDTF">2022-03-21T07:52:00Z</dcterms:modified>
</cp:coreProperties>
</file>