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Modeling ecohydrological processes and spatial patterns in the upstream of the Heihe River Basin V1.0 (2001-2012)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The output data of the distributed eco hydrological model in the upper reaches of Heihe River includes the spatial distribution data of 1-km grid and the discharge time series data of the outlet of the basin. (1) Spatial distribution data of 1-km grid, monthly average soil moisture, actual evapotranspiration, runoff depth and other spatial distribution data of 1-km resolution. (2) Runoff time series daily flow data of river basin outlet.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Soil</w:t>
      </w:r>
      <w:r>
        <w:t>,</w:t>
      </w:r>
      <w:r>
        <w:rPr>
          <w:sz w:val="22"/>
        </w:rPr>
        <w:t>Runoff</w:t>
      </w:r>
      <w:r>
        <w:t>,</w:t>
      </w:r>
      <w:r>
        <w:rPr>
          <w:sz w:val="22"/>
        </w:rPr>
        <w:t>Precipitation</w:t>
      </w:r>
      <w:r>
        <w:t>,</w:t>
      </w:r>
      <w:r>
        <w:rPr>
          <w:sz w:val="22"/>
        </w:rPr>
        <w:t>Evapotranspiration</w:t>
      </w:r>
      <w:r>
        <w:t>,</w:t>
      </w:r>
      <w:r>
        <w:rPr>
          <w:sz w:val="22"/>
        </w:rPr>
        <w:t>Hydrology</w:t>
      </w:r>
      <w:r>
        <w:t>,</w:t>
      </w:r>
      <w:r>
        <w:rPr>
          <w:sz w:val="22"/>
        </w:rPr>
        <w:t>Soil moisture/Water content</w:t>
        <w:br/>
      </w:r>
      <w:r>
        <w:rPr>
          <w:sz w:val="22"/>
        </w:rPr>
        <w:t>Discipline：</w:t>
      </w:r>
      <w:r>
        <w:rPr>
          <w:sz w:val="22"/>
        </w:rPr>
        <w:t>Terrestrial Surface</w:t>
        <w:br/>
      </w:r>
      <w:r>
        <w:rPr>
          <w:sz w:val="22"/>
        </w:rPr>
        <w:t>Places：</w:t>
      </w:r>
      <w:r>
        <w:rPr>
          <w:sz w:val="22"/>
        </w:rPr>
        <w:t>Heihe River Basin</w:t>
      </w:r>
      <w:r>
        <w:t xml:space="preserve">, </w:t>
      </w:r>
      <w:r>
        <w:rPr>
          <w:sz w:val="22"/>
        </w:rPr>
        <w:t>Upper Reaches of Heihe Basin</w:t>
        <w:br/>
      </w:r>
      <w:r>
        <w:rPr>
          <w:sz w:val="22"/>
        </w:rPr>
        <w:t>Time：</w:t>
      </w:r>
      <w:r>
        <w:rPr>
          <w:sz w:val="22"/>
        </w:rPr>
        <w:t>2001-2012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1.Scale：100000</w:t>
      </w:r>
    </w:p>
    <w:p>
      <w:pPr>
        <w:ind w:left="432"/>
      </w:pPr>
      <w:r>
        <w:rPr>
          <w:sz w:val="22"/>
        </w:rPr>
        <w:t>2.Projection：4326</w:t>
      </w:r>
    </w:p>
    <w:p>
      <w:pPr>
        <w:ind w:left="432"/>
      </w:pPr>
      <w:r>
        <w:rPr>
          <w:sz w:val="22"/>
        </w:rPr>
        <w:t>3.Filesize：20.0MB</w:t>
      </w:r>
    </w:p>
    <w:p>
      <w:pPr>
        <w:ind w:left="432"/>
      </w:pPr>
      <w:r>
        <w:rPr>
          <w:sz w:val="22"/>
        </w:rPr>
        <w:t>4.Data format：网格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north：39.5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west：98.0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east：101.5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south：37.5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2001-01-14 18:37:00+00:00</w:t>
      </w:r>
      <w:r>
        <w:rPr>
          <w:sz w:val="22"/>
        </w:rPr>
        <w:t>--</w:t>
      </w:r>
      <w:r>
        <w:rPr>
          <w:sz w:val="22"/>
        </w:rPr>
        <w:t>2013-01-13 18:37:00+00:00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Modeling ecohydrological processes and spatial patterns in the upstream of the Heihe River Basin V1.0 (2001-2012). A Big Earth Data Platform for Three Poles, doi:10.3972/heihe.0042.2014.db</w:t>
      </w:r>
      <w:r>
        <w:rPr>
          <w:sz w:val="22"/>
        </w:rPr>
        <w:t>2016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  <w:r>
        <w:t>Gao, B., Yang, D., Qin, Y., Wang, Y., Li, H., Zhang, Y., &amp; Zhang, T. (2018).  Change in Frozen grounds and Its Effect on Regional Hydrology in the Upper Heihe Basin, on the Northeastern Qinghai-Tibetan Plateau. The Cryosphere. 12(2), 657-673.</w:t>
        <w:br/>
        <w:br/>
      </w:r>
      <w:r>
        <w:t>Yang, D., Gao, B., Jiao, Y., Lei, H., Zhang, Y., Yang, H., Cong, Z. (2015). A distributed scheme developed for eco-hydrological modeling in the upper Heihe River. Science China Earth Sciences, 58(1), 36-45.</w:t>
        <w:br/>
        <w:br/>
      </w: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br/>
      </w:r>
    </w:p>
    <w:p>
      <w:r>
        <w:rPr>
          <w:sz w:val="32"/>
        </w:rPr>
        <w:t>8、Data resource provider</w:t>
      </w:r>
    </w:p>
    <w:p>
      <w:pPr>
        <w:ind w:left="432"/>
      </w:pP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