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Cash income and expenditure of households in Qinghai Province (2013-2020)</w:t>
      </w:r>
    </w:p>
    <w:p>
      <w:r>
        <w:rPr>
          <w:sz w:val="32"/>
        </w:rPr>
        <w:t>1、Description</w:t>
      </w:r>
    </w:p>
    <w:p>
      <w:pPr>
        <w:ind w:firstLine="432"/>
      </w:pPr>
      <w:r>
        <w:rPr>
          <w:sz w:val="22"/>
        </w:rPr>
        <w:t>The data set records the statistical data of cash income and expenditure of households in Qinghai Province from 2013 to 2020. Data are divided by cash wage income, cash operating income, cash property income, cash transfer income, cash consumption expenditure, production and operation cash expense expenditure, cash property expenditure, cash transfer expenditure, part of commercial insurance expenditure, purchase of assets and borrowing expenditure. The data are collected from qinghai Statistical Yearbook released by Qinghai Provincial Bureau of Statistics. The dataset contains six data tables, which are:</w:t>
        <w:br/>
        <w:t>Household cash income and expenditure 2013-2014. XLS</w:t>
        <w:br/>
        <w:t>Household cash income and expenditure 2014-2015. XLS</w:t>
        <w:br/>
        <w:t>Household cash income and expenditure 2015-2016. XLS</w:t>
        <w:br/>
        <w:t>Household cash income and expenditure 2016-2017. XLS</w:t>
        <w:br/>
        <w:t>Household cash income and expenditure 2017-2018. XLS</w:t>
        <w:br/>
        <w:t>Household cash income and expenditure 2019-2020. XLS</w:t>
        <w:br/>
        <w:t>The data table structure is the same. For example, the 2013-2014 data table of household cash income and expenditure has 7 fields:</w:t>
        <w:br/>
        <w:t>Field 1: indicator</w:t>
        <w:br/>
        <w:t>Field 2: All residents</w:t>
        <w:br/>
        <w:t>Field 3: Regular town residents</w:t>
        <w:br/>
        <w:t>Field 4: Permanent rural residents</w:t>
        <w:br/>
        <w:t>Field 5: All residents</w:t>
        <w:br/>
        <w:t>Field 6: Regular town residents</w:t>
        <w:br/>
        <w:t>Field 7: Permanent rural residents</w:t>
      </w:r>
    </w:p>
    <w:p>
      <w:r>
        <w:rPr>
          <w:sz w:val="32"/>
        </w:rPr>
        <w:t>2、Keywords</w:t>
      </w:r>
    </w:p>
    <w:p>
      <w:pPr>
        <w:ind w:left="432"/>
      </w:pPr>
      <w:r>
        <w:rPr>
          <w:sz w:val="22"/>
        </w:rPr>
        <w:t>Theme：</w:t>
      </w:r>
      <w:r>
        <w:rPr>
          <w:sz w:val="22"/>
        </w:rPr>
        <w:t>Household income and expenditure</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2013-2020</w:t>
      </w:r>
    </w:p>
    <w:p>
      <w:r>
        <w:rPr>
          <w:sz w:val="32"/>
        </w:rPr>
        <w:t>3、Data details</w:t>
      </w:r>
    </w:p>
    <w:p>
      <w:pPr>
        <w:ind w:left="432"/>
      </w:pPr>
      <w:r>
        <w:rPr>
          <w:sz w:val="22"/>
        </w:rPr>
        <w:t>1.Scale：None</w:t>
      </w:r>
    </w:p>
    <w:p>
      <w:pPr>
        <w:ind w:left="432"/>
      </w:pPr>
      <w:r>
        <w:rPr>
          <w:sz w:val="22"/>
        </w:rPr>
        <w:t>2.Projection：</w:t>
      </w:r>
    </w:p>
    <w:p>
      <w:pPr>
        <w:ind w:left="432"/>
      </w:pPr>
      <w:r>
        <w:rPr>
          <w:sz w:val="22"/>
        </w:rPr>
        <w:t>3.Filesize：0.045MB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2012-12-31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Cash income and expenditure of households in Qinghai Province (2013-2020).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