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GRFRV1.0: Global Reach-level 3-hourly river flood reanalysis (1980-2019)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global reach-level 3-hourly river flood reanalysis (GRFR) dataset includes 1) global 0.05 degree, 3-hourly/daily runoff data, 2) 3hourly/daily naturalized river discharge at 2.94 million river reaches, 3) global 3-hourly river flood events from 1980 to 2019, 4) underlying hydrography MERIT-Basins.</w:t>
        <w:br/>
        <w:t>Grounded on recent breakthroughs in global runoff hydrology, river modeling, high-resolution hydrography, and climate reanalysis, the 3-hourly river discharge record globally for 2.94 million river reaches during the 40-yr period of 1980–2019 was developed. The underlying modeling chain consists of the VIC land surface model (0.05°, 3-hourly) that is well calibrated and bias-corrected and the RAPID routing model (2.94 million river and catchment vectors), with precipitation input from MSWEP and other meteorological fields downscaled from ERA5. Flood events (above 2-yr return) and their characteristics (number, spatial distribution, and seasonality) were extracted and studied. Validations against 3-hourly flow records from 6,000+ gauges in CONUS and daily records from 14,000+ gauges globally show good modeling performance across all flow ranges, good skills in reconstructing flood events (high extremes), and the benefit of (and need for) sub-daily modeling.</w:t>
        <w:br/>
        <w:t>The GRFR database represents a pioneering effort on global reach-level flood reanalysis and may offer new opportunities for global flood studies in terms of baseline data and potential research pathways. Also, it can better help river-observing satellite missions to develop their discharge algorithms.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river routing</w:t>
      </w:r>
      <w:r>
        <w:t>,</w:t>
      </w:r>
      <w:r>
        <w:rPr>
          <w:sz w:val="22"/>
        </w:rPr>
        <w:t>Runoff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Floods</w:t>
      </w:r>
      <w:r>
        <w:t>,</w:t>
      </w:r>
      <w:r>
        <w:rPr>
          <w:sz w:val="22"/>
        </w:rPr>
        <w:t>land surface model</w:t>
      </w:r>
      <w:r>
        <w:t>,</w:t>
      </w:r>
      <w:r>
        <w:rPr>
          <w:sz w:val="22"/>
        </w:rPr>
        <w:t>global hydrology</w:t>
      </w:r>
      <w:r>
        <w:t>,</w:t>
      </w:r>
      <w:r>
        <w:rPr>
          <w:sz w:val="22"/>
        </w:rPr>
        <w:t>Discharge/Flow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Globe</w:t>
        <w:br/>
      </w:r>
      <w:r>
        <w:rPr>
          <w:sz w:val="22"/>
        </w:rPr>
        <w:t>Time：</w:t>
      </w:r>
      <w:r>
        <w:rPr>
          <w:sz w:val="22"/>
        </w:rPr>
        <w:t>1980-2019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3.Filesize：491520.0MB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LIN   Peirong , PAN   Ming  , YANG   Yuan . GRFRV1.0: Global Reach-level 3-hourly river flood reanalysis (1980-2019). A Big Earth Data Platform for Three Poles, doi:10.11888/Terre.tpdc.272901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Yang, Y., Pan, M., Lin, P.R., Beck, H.E., Zeng, Z.Z., Yamazaki, D., David, C.H., Lu, H., Yang, K., Hong, Y., and Wood, E.F. (2021). Global Reach-level 3-hourly river flood reanalysis (1980-2019). Bulletin of the American Meteorological Society, 102(11), E2086-E2105.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LIN   Peirong </w:t>
        <w:br/>
      </w:r>
      <w:r>
        <w:rPr>
          <w:sz w:val="22"/>
        </w:rPr>
        <w:t xml:space="preserve">unit: </w:t>
      </w:r>
      <w:r>
        <w:rPr>
          <w:sz w:val="22"/>
        </w:rPr>
        <w:t>Peking University</w:t>
        <w:br/>
      </w:r>
      <w:r>
        <w:rPr>
          <w:sz w:val="22"/>
        </w:rPr>
        <w:t xml:space="preserve">email: </w:t>
      </w:r>
      <w:r>
        <w:rPr>
          <w:sz w:val="22"/>
        </w:rPr>
        <w:t>peironglinlin@pku.edu.cn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PAN   Ming  </w:t>
        <w:br/>
      </w:r>
      <w:r>
        <w:rPr>
          <w:sz w:val="22"/>
        </w:rPr>
        <w:t xml:space="preserve">unit: </w:t>
      </w:r>
      <w:r>
        <w:rPr>
          <w:sz w:val="22"/>
        </w:rPr>
        <w:t>UCSD</w:t>
        <w:br/>
      </w:r>
      <w:r>
        <w:rPr>
          <w:sz w:val="22"/>
        </w:rPr>
        <w:t xml:space="preserve">email: </w:t>
      </w:r>
      <w:r>
        <w:rPr>
          <w:sz w:val="22"/>
        </w:rPr>
        <w:t>m3pan@ucsd.edu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YANG   Yuan </w:t>
        <w:br/>
      </w:r>
      <w:r>
        <w:rPr>
          <w:sz w:val="22"/>
        </w:rPr>
        <w:t xml:space="preserve">unit: </w:t>
      </w:r>
      <w:r>
        <w:rPr>
          <w:sz w:val="22"/>
        </w:rPr>
        <w:t>University of California, San Diego</w:t>
        <w:br/>
      </w:r>
      <w:r>
        <w:rPr>
          <w:sz w:val="22"/>
        </w:rPr>
        <w:t xml:space="preserve">email: </w:t>
      </w:r>
      <w:r>
        <w:rPr>
          <w:sz w:val="22"/>
        </w:rPr>
        <w:t>yuanyangthu@gmail.com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