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Trend of Average NDVI Changes during the Growth Season of Sanjiangyuan National Park (2000-2020)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归一化植被指数</w:t>
      </w:r>
      <w:r>
        <w:t xml:space="preserve">, </w:t>
      </w:r>
      <w:r>
        <w:rPr>
          <w:sz w:val="22"/>
        </w:rPr>
        <w:t>NVDI年际变化趋势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 National Park</w:t>
      </w:r>
      <w:r>
        <w:t xml:space="preserve">, </w:t>
      </w:r>
      <w:r>
        <w:rPr>
          <w:sz w:val="22"/>
        </w:rPr>
        <w:t>Qinghai-Tibet Pleatue</w:t>
        <w:br/>
      </w:r>
      <w:r>
        <w:rPr>
          <w:sz w:val="22"/>
        </w:rPr>
        <w:t>Time：</w:t>
      </w:r>
      <w:r>
        <w:rPr>
          <w:sz w:val="22"/>
        </w:rPr>
        <w:t>From 2000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3.Filesize：1013.76MB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Trend of Average NDVI Changes during the Growth Season of Sanjiangyuan National Park (2000-2020).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