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FEA42B" w14:textId="77777777" w:rsidR="004C709D" w:rsidRPr="004C709D" w:rsidRDefault="004C709D" w:rsidP="004C709D">
      <w:pPr>
        <w:snapToGrid w:val="0"/>
        <w:spacing w:line="360" w:lineRule="auto"/>
        <w:jc w:val="center"/>
        <w:rPr>
          <w:rFonts w:ascii="隶书" w:eastAsia="隶书" w:hAnsi="Times New Roman" w:cs="Times New Roman"/>
          <w:b/>
          <w:bCs/>
          <w:color w:val="FF0000"/>
          <w:sz w:val="36"/>
          <w:szCs w:val="24"/>
        </w:rPr>
      </w:pPr>
      <w:r w:rsidRPr="004C709D">
        <w:rPr>
          <w:rFonts w:ascii="隶书" w:eastAsia="隶书" w:hAnsi="Times New Roman" w:cs="Times New Roman" w:hint="eastAsia"/>
          <w:b/>
          <w:bCs/>
          <w:color w:val="FF0000"/>
          <w:sz w:val="36"/>
          <w:szCs w:val="24"/>
        </w:rPr>
        <w:t>2002年青海省环境状况公报</w:t>
      </w:r>
    </w:p>
    <w:p w14:paraId="4CECB68C" w14:textId="77777777" w:rsidR="004C709D" w:rsidRPr="004C709D" w:rsidRDefault="004C709D" w:rsidP="004C709D">
      <w:pPr>
        <w:snapToGrid w:val="0"/>
        <w:spacing w:line="360" w:lineRule="auto"/>
        <w:jc w:val="center"/>
        <w:rPr>
          <w:rFonts w:ascii="Times New Roman" w:eastAsia="楷体_GB2312" w:hAnsi="Times New Roman" w:cs="Times New Roman" w:hint="eastAsia"/>
          <w:b/>
          <w:bCs/>
          <w:color w:val="FF0000"/>
          <w:szCs w:val="24"/>
        </w:rPr>
      </w:pPr>
      <w:r w:rsidRPr="004C709D">
        <w:rPr>
          <w:rFonts w:ascii="Times New Roman" w:eastAsia="楷体_GB2312" w:hAnsi="Times New Roman" w:cs="Times New Roman" w:hint="eastAsia"/>
          <w:b/>
          <w:bCs/>
          <w:color w:val="FF0000"/>
          <w:szCs w:val="24"/>
        </w:rPr>
        <w:t>青海省环境保护局</w:t>
      </w:r>
    </w:p>
    <w:p w14:paraId="30240A27" w14:textId="77777777" w:rsidR="004C709D" w:rsidRPr="004C709D" w:rsidRDefault="004C709D" w:rsidP="004C709D">
      <w:pPr>
        <w:snapToGrid w:val="0"/>
        <w:spacing w:line="360" w:lineRule="auto"/>
        <w:jc w:val="center"/>
        <w:rPr>
          <w:rFonts w:ascii="Times New Roman" w:eastAsia="方正行楷_GBK" w:hAnsi="Times New Roman" w:cs="Times New Roman"/>
          <w:b/>
          <w:bCs/>
          <w:color w:val="333399"/>
          <w:sz w:val="32"/>
          <w:szCs w:val="24"/>
        </w:rPr>
      </w:pPr>
      <w:proofErr w:type="gramStart"/>
      <w:r w:rsidRPr="004C709D">
        <w:rPr>
          <w:rFonts w:ascii="Times New Roman" w:eastAsia="方正行楷_GBK" w:hAnsi="Times New Roman" w:cs="Times New Roman" w:hint="eastAsia"/>
          <w:b/>
          <w:bCs/>
          <w:color w:val="333399"/>
          <w:sz w:val="32"/>
          <w:szCs w:val="24"/>
        </w:rPr>
        <w:t>综</w:t>
      </w:r>
      <w:proofErr w:type="gramEnd"/>
      <w:r w:rsidRPr="004C709D">
        <w:rPr>
          <w:rFonts w:ascii="Times New Roman" w:eastAsia="方正行楷_GBK" w:hAnsi="Times New Roman" w:cs="Times New Roman"/>
          <w:b/>
          <w:bCs/>
          <w:color w:val="333399"/>
          <w:sz w:val="32"/>
          <w:szCs w:val="24"/>
        </w:rPr>
        <w:t xml:space="preserve">  </w:t>
      </w:r>
      <w:r w:rsidRPr="004C709D">
        <w:rPr>
          <w:rFonts w:ascii="Times New Roman" w:eastAsia="方正行楷_GBK" w:hAnsi="Times New Roman" w:cs="Times New Roman" w:hint="eastAsia"/>
          <w:b/>
          <w:bCs/>
          <w:color w:val="333399"/>
          <w:sz w:val="32"/>
          <w:szCs w:val="24"/>
        </w:rPr>
        <w:t>述</w:t>
      </w:r>
    </w:p>
    <w:p w14:paraId="71A64638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全省环境保护工作紧紧围绕全省经济工作和“十五”环境保护计划目标，认真贯彻中央人口资源环境工作座谈会和全国环保工作会议精神，以改善环境质量为目标，坚持污染防治和生态保护并重的方针，强化环保部门监督管理和服务职能，在工业污染防治、生态环境保护、城市环境综合整治、环境执法、环境监测和信息建设等方面取得了新的进展，为社会经济的可持续发展创造了条件。全省环境污染状况与上年同期相比基本保持稳定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部分城市和地区环境质量有所改善，局部地区生态环境恶化的趋势得到一定程度的遏制。但总体看，环境整体趋于恶化的基本态势还没有明显转变。</w:t>
      </w:r>
    </w:p>
    <w:p w14:paraId="12E0BA33" w14:textId="77777777" w:rsidR="004C709D" w:rsidRPr="004C709D" w:rsidRDefault="004C709D" w:rsidP="004C709D">
      <w:pPr>
        <w:snapToGrid w:val="0"/>
        <w:spacing w:line="360" w:lineRule="auto"/>
        <w:jc w:val="center"/>
        <w:rPr>
          <w:rFonts w:ascii="Times New Roman" w:eastAsia="华文行楷" w:hAnsi="Times New Roman" w:cs="Times New Roman"/>
          <w:b/>
          <w:bCs/>
          <w:color w:val="333399"/>
          <w:sz w:val="32"/>
          <w:szCs w:val="24"/>
        </w:rPr>
      </w:pPr>
      <w:r w:rsidRPr="004C709D">
        <w:rPr>
          <w:rFonts w:ascii="Times New Roman" w:eastAsia="华文行楷" w:hAnsi="Times New Roman" w:cs="Times New Roman" w:hint="eastAsia"/>
          <w:b/>
          <w:bCs/>
          <w:color w:val="333399"/>
          <w:sz w:val="32"/>
          <w:szCs w:val="24"/>
        </w:rPr>
        <w:t>环境状况</w:t>
      </w:r>
    </w:p>
    <w:p w14:paraId="5253E0B6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水环境</w:t>
      </w:r>
    </w:p>
    <w:p w14:paraId="76E08A12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全省废水排放总量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11131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万吨，比上年降低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5.9%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。其中工业废水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3583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万吨，占全省废水总量的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32%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；生活污水排放量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7548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万吨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占全省废水总量的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68%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。主要污染物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COD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排放量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33068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吨，其中工业废水中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COD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排放量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3683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吨，占全省总量的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11.1%,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生活污水中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COD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排放量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29385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吨，占全省总量的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88.9%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；氨氮排放量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3410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吨，其中生活污水中氨氮排放量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3385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吨，占总量的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99.3%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年我省工业废水主要来自黑色金属冶炼、电力、有色金属冶炼和化工行业，其排放量占全省总量的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68.2%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</w:t>
      </w:r>
    </w:p>
    <w:p w14:paraId="1F1DBA38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流域分布：我省主要流域分为长江上游区、黄河上游区、青海湖内流区、柴达木内流区。有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134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家工业企业的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2987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万吨工业废水排入黄河流域，占全省工业废水总量的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83.4%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。排入的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 xml:space="preserve"> COD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量占全省工业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COD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总量的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82.2%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</w:t>
      </w:r>
    </w:p>
    <w:p w14:paraId="527DBC8D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湟水河是黄河一级支流，也是我省水污染防治的重点流域，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年排入该流域的污水总量约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8100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万吨，其中工业废水量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2933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万吨，工业废水排放达标率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64.2%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。主要污染物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COD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排放总量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23586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吨，占全省总量的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71%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。氨氮排放量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2431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吨，占全省总量的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70.6%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</w:t>
      </w:r>
    </w:p>
    <w:p w14:paraId="3CB74EA1" w14:textId="77777777" w:rsidR="004C709D" w:rsidRPr="004C709D" w:rsidRDefault="004C709D" w:rsidP="004C709D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废水排放情况年际变化表</w:t>
      </w:r>
    </w:p>
    <w:p w14:paraId="5F50556C" w14:textId="77777777" w:rsidR="004C709D" w:rsidRPr="004C709D" w:rsidRDefault="004C709D" w:rsidP="004C709D">
      <w:pPr>
        <w:snapToGrid w:val="0"/>
        <w:spacing w:line="360" w:lineRule="auto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lastRenderedPageBreak/>
        <w:t> </w:t>
      </w:r>
    </w:p>
    <w:tbl>
      <w:tblPr>
        <w:tblW w:w="8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160"/>
        <w:gridCol w:w="696"/>
        <w:gridCol w:w="696"/>
        <w:gridCol w:w="696"/>
        <w:gridCol w:w="696"/>
        <w:gridCol w:w="816"/>
        <w:gridCol w:w="816"/>
        <w:gridCol w:w="696"/>
        <w:gridCol w:w="816"/>
        <w:gridCol w:w="696"/>
      </w:tblGrid>
      <w:tr w:rsidR="004C709D" w:rsidRPr="004C709D" w14:paraId="1870E45F" w14:textId="77777777" w:rsidTr="004C709D">
        <w:tc>
          <w:tcPr>
            <w:tcW w:w="10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EF65" w14:textId="77777777" w:rsidR="004C709D" w:rsidRPr="004C709D" w:rsidRDefault="004C709D" w:rsidP="004C709D">
            <w:pPr>
              <w:spacing w:line="360" w:lineRule="auto"/>
              <w:jc w:val="center"/>
              <w:rPr>
                <w:rFonts w:ascii="宋体" w:eastAsia="宋体" w:hAnsi="宋体" w:cs="Times New Roman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年度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91C364" w14:textId="77777777" w:rsidR="004C709D" w:rsidRPr="004C709D" w:rsidRDefault="004C709D" w:rsidP="004C709D">
            <w:pPr>
              <w:spacing w:line="360" w:lineRule="auto"/>
              <w:ind w:left="690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废水排放(万吨)</w:t>
            </w:r>
          </w:p>
        </w:tc>
        <w:tc>
          <w:tcPr>
            <w:tcW w:w="4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01BB07" w14:textId="77777777" w:rsidR="004C709D" w:rsidRPr="004C709D" w:rsidRDefault="004C709D" w:rsidP="004C709D">
            <w:pPr>
              <w:spacing w:line="360" w:lineRule="auto"/>
              <w:ind w:firstLineChars="800" w:firstLine="1920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化学需氧量(吨)</w:t>
            </w:r>
          </w:p>
        </w:tc>
      </w:tr>
      <w:tr w:rsidR="004C709D" w:rsidRPr="004C709D" w14:paraId="7F3C14D9" w14:textId="77777777" w:rsidTr="004C709D"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5C87C" w14:textId="77777777" w:rsidR="004C709D" w:rsidRPr="004C709D" w:rsidRDefault="004C709D" w:rsidP="004C709D">
            <w:pPr>
              <w:widowControl/>
              <w:jc w:val="left"/>
              <w:rPr>
                <w:rFonts w:ascii="宋体" w:eastAsia="宋体" w:hAnsi="宋体" w:cs="Times New Roman"/>
                <w:color w:val="333399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0AD3" w14:textId="77777777" w:rsidR="004C709D" w:rsidRPr="004C709D" w:rsidRDefault="004C709D" w:rsidP="004C709D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总量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08F5" w14:textId="77777777" w:rsidR="004C709D" w:rsidRPr="004C709D" w:rsidRDefault="004C709D" w:rsidP="004C709D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工业</w:t>
            </w:r>
          </w:p>
          <w:p w14:paraId="388183B5" w14:textId="77777777" w:rsidR="004C709D" w:rsidRPr="004C709D" w:rsidRDefault="004C709D" w:rsidP="004C709D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废水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9563" w14:textId="77777777" w:rsidR="004C709D" w:rsidRPr="004C709D" w:rsidRDefault="004C709D" w:rsidP="004C709D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比重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DE09E" w14:textId="77777777" w:rsidR="004C709D" w:rsidRPr="004C709D" w:rsidRDefault="004C709D" w:rsidP="004C709D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生活</w:t>
            </w:r>
          </w:p>
          <w:p w14:paraId="2F5EC539" w14:textId="77777777" w:rsidR="004C709D" w:rsidRPr="004C709D" w:rsidRDefault="004C709D" w:rsidP="004C709D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污水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DB8B" w14:textId="77777777" w:rsidR="004C709D" w:rsidRPr="004C709D" w:rsidRDefault="004C709D" w:rsidP="004C709D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比重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5A68" w14:textId="77777777" w:rsidR="004C709D" w:rsidRPr="004C709D" w:rsidRDefault="004C709D" w:rsidP="004C709D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总量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2BBD" w14:textId="77777777" w:rsidR="004C709D" w:rsidRPr="004C709D" w:rsidRDefault="004C709D" w:rsidP="004C709D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工业 COD</w:t>
            </w:r>
          </w:p>
          <w:p w14:paraId="78BAB0F9" w14:textId="77777777" w:rsidR="004C709D" w:rsidRPr="004C709D" w:rsidRDefault="004C709D" w:rsidP="004C709D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排 放 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2CF5" w14:textId="77777777" w:rsidR="004C709D" w:rsidRPr="004C709D" w:rsidRDefault="004C709D" w:rsidP="004C709D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比重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729E" w14:textId="77777777" w:rsidR="004C709D" w:rsidRPr="004C709D" w:rsidRDefault="004C709D" w:rsidP="004C709D">
            <w:pPr>
              <w:spacing w:line="360" w:lineRule="auto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生活 COD</w:t>
            </w:r>
          </w:p>
          <w:p w14:paraId="4D82F967" w14:textId="77777777" w:rsidR="004C709D" w:rsidRPr="004C709D" w:rsidRDefault="004C709D" w:rsidP="004C709D">
            <w:pPr>
              <w:spacing w:line="360" w:lineRule="auto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排 放 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4A6D4BD" w14:textId="77777777" w:rsidR="004C709D" w:rsidRPr="004C709D" w:rsidRDefault="004C709D" w:rsidP="004C709D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比重</w:t>
            </w:r>
          </w:p>
        </w:tc>
      </w:tr>
      <w:tr w:rsidR="004C709D" w:rsidRPr="004C709D" w14:paraId="7E55C1BF" w14:textId="77777777" w:rsidTr="004C709D"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BFE5" w14:textId="77777777" w:rsidR="004C709D" w:rsidRPr="004C709D" w:rsidRDefault="004C709D" w:rsidP="004C709D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2001年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7FCB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11831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7327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4385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61ED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37.1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BB3A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7446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A31F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62.9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AA43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33056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A98C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3272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5E91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9.9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9A26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29784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E0637F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90.1</w:t>
            </w:r>
          </w:p>
        </w:tc>
      </w:tr>
      <w:tr w:rsidR="004C709D" w:rsidRPr="004C709D" w14:paraId="2450F764" w14:textId="77777777" w:rsidTr="004C709D"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A895" w14:textId="77777777" w:rsidR="004C709D" w:rsidRPr="004C709D" w:rsidRDefault="004C709D" w:rsidP="004C709D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2002年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410F" w14:textId="77777777" w:rsidR="004C709D" w:rsidRPr="004C709D" w:rsidRDefault="004C709D" w:rsidP="004C709D">
            <w:pPr>
              <w:spacing w:line="360" w:lineRule="auto"/>
              <w:ind w:firstLineChars="560" w:firstLine="1344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11131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A99F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3583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3C69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32.2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6788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7548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88A6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67.8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23A4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33068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3488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3683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F2BD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11.1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1262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29385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08E549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88.9</w:t>
            </w:r>
          </w:p>
        </w:tc>
      </w:tr>
      <w:tr w:rsidR="004C709D" w:rsidRPr="004C709D" w14:paraId="666B1082" w14:textId="77777777" w:rsidTr="004C709D"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70F2" w14:textId="77777777" w:rsidR="004C709D" w:rsidRPr="004C709D" w:rsidRDefault="004C709D" w:rsidP="004C709D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增减量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CE7E8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-700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69A7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-802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F240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Times New Roman" w:eastAsia="宋体" w:hAnsi="Times New Roman" w:cs="Times New Roman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5F23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+102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8C0B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Times New Roman" w:eastAsia="宋体" w:hAnsi="Times New Roman" w:cs="Times New Roman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6308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+12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E614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+411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3B45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Times New Roman" w:eastAsia="宋体" w:hAnsi="Times New Roman" w:cs="Times New Roman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B422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-399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867608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Times New Roman" w:eastAsia="宋体" w:hAnsi="Times New Roman" w:cs="Times New Roman"/>
                <w:szCs w:val="24"/>
              </w:rPr>
              <w:t> </w:t>
            </w:r>
          </w:p>
        </w:tc>
      </w:tr>
      <w:tr w:rsidR="004C709D" w:rsidRPr="004C709D" w14:paraId="4ED04393" w14:textId="77777777" w:rsidTr="004C709D"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31E1" w14:textId="77777777" w:rsidR="004C709D" w:rsidRPr="004C709D" w:rsidRDefault="004C709D" w:rsidP="004C709D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增减量%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58BC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-509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EF86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-18.3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CF9A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Times New Roman" w:eastAsia="宋体" w:hAnsi="Times New Roman" w:cs="Times New Roman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44AD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+1.4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72E6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Times New Roman" w:eastAsia="宋体" w:hAnsi="Times New Roman" w:cs="Times New Roman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910E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+0.03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CC6F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+12.6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8C06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Times New Roman" w:eastAsia="宋体" w:hAnsi="Times New Roman" w:cs="Times New Roman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A9E2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  <w:t>-1.3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C60590" w14:textId="77777777" w:rsidR="004C709D" w:rsidRPr="004C709D" w:rsidRDefault="004C709D" w:rsidP="004C709D">
            <w:pPr>
              <w:spacing w:line="360" w:lineRule="auto"/>
              <w:jc w:val="right"/>
              <w:rPr>
                <w:rFonts w:ascii="宋体" w:eastAsia="宋体" w:hAnsi="宋体" w:cs="Times New Roman" w:hint="eastAsia"/>
                <w:color w:val="333399"/>
                <w:sz w:val="24"/>
                <w:szCs w:val="24"/>
              </w:rPr>
            </w:pPr>
            <w:r w:rsidRPr="004C709D">
              <w:rPr>
                <w:rFonts w:ascii="Times New Roman" w:eastAsia="宋体" w:hAnsi="Times New Roman" w:cs="Times New Roman"/>
                <w:szCs w:val="24"/>
              </w:rPr>
              <w:t> </w:t>
            </w:r>
          </w:p>
        </w:tc>
      </w:tr>
    </w:tbl>
    <w:p w14:paraId="26BD32D9" w14:textId="77777777" w:rsidR="004C709D" w:rsidRPr="004C709D" w:rsidRDefault="004C709D" w:rsidP="004C709D">
      <w:pPr>
        <w:snapToGrid w:val="0"/>
        <w:spacing w:line="360" w:lineRule="auto"/>
        <w:ind w:left="480" w:hangingChars="200" w:hanging="480"/>
        <w:rPr>
          <w:rFonts w:ascii="宋体" w:eastAsia="宋体" w:hAnsi="宋体" w:cs="Times New Roman" w:hint="eastAsia"/>
          <w:color w:val="333399"/>
          <w:sz w:val="24"/>
          <w:szCs w:val="24"/>
        </w:rPr>
      </w:pPr>
      <w:r w:rsidRPr="004C709D">
        <w:rPr>
          <w:rFonts w:ascii="宋体" w:eastAsia="宋体" w:hAnsi="宋体" w:cs="Times New Roman" w:hint="eastAsia"/>
          <w:color w:val="333399"/>
          <w:sz w:val="24"/>
          <w:szCs w:val="24"/>
        </w:rPr>
        <w:t> </w:t>
      </w:r>
    </w:p>
    <w:p w14:paraId="43547D82" w14:textId="77777777" w:rsidR="004C709D" w:rsidRPr="004C709D" w:rsidRDefault="004C709D" w:rsidP="004C709D">
      <w:pPr>
        <w:snapToGrid w:val="0"/>
        <w:spacing w:line="360" w:lineRule="auto"/>
        <w:ind w:left="482" w:hangingChars="200" w:hanging="482"/>
        <w:rPr>
          <w:rFonts w:ascii="Times New Roman" w:eastAsia="宋体" w:hAnsi="Times New Roman" w:cs="Times New Roman" w:hint="eastAsia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水质状况</w:t>
      </w:r>
    </w:p>
    <w:p w14:paraId="1B5FB36E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长江水系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 xml:space="preserve">  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年对长江上游布曲河、通天河、</w:t>
      </w:r>
      <w:proofErr w:type="gramStart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沱沱</w:t>
      </w:r>
      <w:proofErr w:type="gramEnd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河、楚玛尔河等主要河流的监测结果，除</w:t>
      </w:r>
      <w:proofErr w:type="gramStart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沱沱</w:t>
      </w:r>
      <w:proofErr w:type="gramEnd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河、清水河高锰酸盐指数超过《地表水环境质量标准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GB3838-2002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》Ⅰ类标准，北麓河、</w:t>
      </w:r>
      <w:proofErr w:type="gramStart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曲水河</w:t>
      </w:r>
      <w:proofErr w:type="gramEnd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超过Ⅱ类标准，秀水河超过Ⅲ类标准外，其余各项目均达到Ⅰ类标准。</w:t>
      </w:r>
    </w:p>
    <w:p w14:paraId="41733636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黄河水系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 xml:space="preserve">  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年，黄河唐乃</w:t>
      </w:r>
      <w:proofErr w:type="gramStart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亥</w:t>
      </w:r>
      <w:proofErr w:type="gramEnd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断面达到国家《地表水环境质量标准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GB3838-2002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》Ⅰ类标准；黄河干流出境官亭断面除氨氮达到Ⅱ类标准外，其余均达到Ⅰ类标准。</w:t>
      </w:r>
    </w:p>
    <w:p w14:paraId="7BF398BE" w14:textId="77777777" w:rsidR="004C709D" w:rsidRPr="004C709D" w:rsidRDefault="004C709D" w:rsidP="004C709D">
      <w:pPr>
        <w:snapToGrid w:val="0"/>
        <w:spacing w:line="360" w:lineRule="auto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湟水干流及主要支流呈有机型污染，主要污染因子为五日生化需氧量、高锰酸盐指数、氨氮和挥发</w:t>
      </w:r>
      <w:proofErr w:type="gramStart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酚</w:t>
      </w:r>
      <w:proofErr w:type="gramEnd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。湟水河出省境断面民和桥</w:t>
      </w:r>
      <w:proofErr w:type="gramStart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水质超</w:t>
      </w:r>
      <w:proofErr w:type="gramEnd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Ⅴ类。与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2001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年相比，湟水流域石油类有明显降低，水质有所好转。</w:t>
      </w:r>
    </w:p>
    <w:p w14:paraId="4B37BD24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湟水流域内地下水环境质量为优良和良好级，符合国家《地下水质量标准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(GB/T14848-93)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》中的Ⅲ类标准。</w:t>
      </w:r>
    </w:p>
    <w:p w14:paraId="345FDB55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格尔木市地下水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6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个监测点，除氨氮超标外，其它地下水指标均符合国家《地下水质量标准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(GB/T14848-93)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》中的Ⅲ类标准。</w:t>
      </w:r>
    </w:p>
    <w:p w14:paraId="5C6E09C5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lastRenderedPageBreak/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年，西宁市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6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个地下水水源地的监测指标基本达到国家生活饮用水卫生标准。</w:t>
      </w:r>
    </w:p>
    <w:p w14:paraId="0479A5C2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大气环境</w:t>
      </w:r>
    </w:p>
    <w:p w14:paraId="49D8B920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年，全省废气中主要污染物二氧化硫排放量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32179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吨，比上年降低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8.4%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。其中工业二氧化硫排放量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22115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吨，占全省总量的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68.7%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，生活二氧化硫排放量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10064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吨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占全省总量的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31.3%;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废气中烟尘排放量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60659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吨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比上年增长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1.7%,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其中工业烟尘排放量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38679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吨，占全省总量的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63.76%,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生活烟尘排放量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21980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吨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占全省总量的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36.24%;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工业粉尘排放量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41041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吨，比上年降低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10.9%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</w:t>
      </w:r>
    </w:p>
    <w:p w14:paraId="1A42DC91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城市环境空气</w:t>
      </w:r>
    </w:p>
    <w:p w14:paraId="12145549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年西宁市、大通县和格尔木市空气污染综合指数分别为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 xml:space="preserve"> 1.63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、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2.77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、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1.97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，西宁市为中度污染，大通县、格尔木市属重污染。与上年相比，西宁市、大通县、格尔木</w:t>
      </w:r>
      <w:proofErr w:type="gramStart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市污染</w:t>
      </w:r>
      <w:proofErr w:type="gramEnd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程度呈下降趋势。西宁市空气质量较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2001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年有了明显改善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优良天数进一步提高，Ⅱ级以上天数占全年总天数的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66%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，</w:t>
      </w:r>
    </w:p>
    <w:p w14:paraId="3118843F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固体废物</w:t>
      </w:r>
    </w:p>
    <w:p w14:paraId="14963D9B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工业固体废物</w:t>
      </w:r>
      <w:r w:rsidRPr="004C709D">
        <w:rPr>
          <w:rFonts w:ascii="Times New Roman" w:eastAsia="宋体" w:hAnsi="Times New Roman" w:cs="Times New Roman"/>
          <w:b/>
          <w:bCs/>
          <w:color w:val="333399"/>
          <w:sz w:val="24"/>
          <w:szCs w:val="24"/>
        </w:rPr>
        <w:t xml:space="preserve">  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年，全省工业固体废物产生量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314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万吨，比上年降低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14.7%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。工业固体废物综合利用量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95.6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万吨，综合利用率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29.6%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，比上年增加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8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个百分点。工业固体废物排放量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1.8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万吨，比上年减少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5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万吨。</w:t>
      </w:r>
    </w:p>
    <w:p w14:paraId="62C6192E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声环境</w:t>
      </w:r>
    </w:p>
    <w:p w14:paraId="64C0EA8D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城市噪声</w:t>
      </w:r>
      <w:r w:rsidRPr="004C709D">
        <w:rPr>
          <w:rFonts w:ascii="Times New Roman" w:eastAsia="宋体" w:hAnsi="Times New Roman" w:cs="Times New Roman"/>
          <w:b/>
          <w:bCs/>
          <w:color w:val="333399"/>
          <w:sz w:val="24"/>
          <w:szCs w:val="24"/>
        </w:rPr>
        <w:t xml:space="preserve">  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年，西宁市城市区域环境噪声平均等效声级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51.5dB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（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A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），西宁市的主要噪声源为生活噪声和交通噪声，分别占声源构成的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40.6%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和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25%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。从影响范围来看，生活噪声影响面最广。交通运输噪声污染状况：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年西宁市交通噪声监测统计结果，城市交通运输噪声平均等效声级为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71.3 dB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（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A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），超标率为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93.4%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</w:t>
      </w:r>
    </w:p>
    <w:p w14:paraId="57F31231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功能区噪声污染状况：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年西宁市功能区噪声统计结果，除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 xml:space="preserve"> III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类区域昼间、夜间均未超标外，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I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类区域和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II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类区域昼间均超标，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IV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类商业、工业区域昼间、夜间均超标。</w:t>
      </w:r>
    </w:p>
    <w:p w14:paraId="230DBC04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辐射环境</w:t>
      </w:r>
    </w:p>
    <w:p w14:paraId="60F2B39A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年我省辐射环境质量监测重点以西宁市γ辐射空气吸收剂量率和湟水源区水体中放射性核素铀为主。</w:t>
      </w:r>
    </w:p>
    <w:p w14:paraId="59E10617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年西宁市γ辐射空气</w:t>
      </w:r>
      <w:proofErr w:type="gramStart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吸收剂量率年均值</w:t>
      </w:r>
      <w:proofErr w:type="gramEnd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为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72.3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纳戈瑞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/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小时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湟水源区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lastRenderedPageBreak/>
        <w:t>水体中放射性核素铀浓度监测的年均值地表水为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4.12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微克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/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升、地下水为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 xml:space="preserve">2.55 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微克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/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升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均为正常本底水平。</w:t>
      </w:r>
    </w:p>
    <w:p w14:paraId="28B396D2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生态环境</w:t>
      </w:r>
    </w:p>
    <w:p w14:paraId="0CADB070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全省林地面积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337.95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万公顷，占全省国土面积的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4.71%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。有林地面积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30.88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万公顷，占林地面积的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9.14%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；疏林地面积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6.83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万公顷，占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2.02%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；灌木林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191.16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万公顷，占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56.56%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。森林覆盖率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3.11%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，其中乔木林覆盖率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0.43%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。全省耕地面积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65.25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万公顷，占国土面积的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0.91%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。全省草地面积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3644.94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万公顷，占全省国土面积的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50.8%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，其中，可利用草地面积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3160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万公顷。受自然和人为因素影响，全省草地约有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90%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出现了不同程度的退化，中度以上退化草地面积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833.3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万公顷，全省现有草地鼠害面积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797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万公顷，占全省可利用草地面积三分之一，草地虫害面积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222.9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万公顷。</w:t>
      </w:r>
    </w:p>
    <w:p w14:paraId="7E566A5D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气候变化与自然灾害</w:t>
      </w:r>
    </w:p>
    <w:p w14:paraId="543B5C08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年，我省东部农业区、环湖地区以及柴达木地区遭受了病虫害、洪涝、冰雹、山体滑坡、暴风雪等多种特大自然灾害。全省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39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个县的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283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个乡（镇）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250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万群众受灾，成灾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144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万人，因灾死亡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10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人。农作物受灾面积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431.5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万亩，成灾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329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万亩，减产粮油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3.9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亿公斤。因灾死亡牲畜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73.2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万头（只）。倒塌毁坏房屋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29819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间，造成直接经济损失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9.7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亿元，其中农牧业直接经济损失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7.6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亿元。</w:t>
      </w:r>
    </w:p>
    <w:p w14:paraId="04468EA1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地质灾害</w:t>
      </w:r>
    </w:p>
    <w:p w14:paraId="21DA634C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4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月份以来，我省东部地区连续发生多次山体滑坡，使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246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户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817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人的生命财产安全受到直接威胁，大部分住户房屋受到严重损坏，耕地被毁。另外，自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2001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月份海西地区发生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8.1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级地震以后，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年初海西州和玉树州部分地区又发生多次强烈余震，共造成经济损失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1.52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亿元。</w:t>
      </w:r>
    </w:p>
    <w:p w14:paraId="522025E9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冰雹、洪涝灾害</w:t>
      </w:r>
    </w:p>
    <w:p w14:paraId="365B4A8A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5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月以来，全省共有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5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个州（地、市）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21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个县（市、区）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67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个乡（镇）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79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万人遭受冰雹、洪涝灾害，成灾人口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57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万人；农作物受灾面积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56.3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万亩，成灾面积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28.6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万亩，绝收面积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7.6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万亩，洪水冲毁耕地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1.6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万亩，使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14398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头（只）大牲畜死亡，洪灾造成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10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人死亡，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3500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余人伤病；倒塌房屋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12196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间，损坏房屋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33288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间。灾害造成直接经济损失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、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84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亿元。</w:t>
      </w:r>
    </w:p>
    <w:p w14:paraId="67476360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暴风雪灾害</w:t>
      </w:r>
    </w:p>
    <w:p w14:paraId="38BC5283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4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月下旬，海西州境内茫崖、冷湖、大柴旦行委及格尔木市遭暴风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lastRenderedPageBreak/>
        <w:t>雪袭击。致使电力、通讯全面中断，交通基本中断。灾区积雪平均厚度达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1.2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米。灾害造成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5.1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万人受灾，成灾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3.7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万人，有近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万人因</w:t>
      </w:r>
      <w:proofErr w:type="gramStart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灾出现</w:t>
      </w:r>
      <w:proofErr w:type="gramEnd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伤病情况；有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103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万头（只）牲畜出现吃草、饮水困难，当年生幼畜大批死亡；格尔木地区当年种植的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7.2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万亩农作物麦苗被冻死，造成直接经济损失达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3100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万元。</w:t>
      </w:r>
    </w:p>
    <w:p w14:paraId="2BB63000" w14:textId="77777777" w:rsidR="004C709D" w:rsidRPr="004C709D" w:rsidRDefault="004C709D" w:rsidP="004C709D">
      <w:pPr>
        <w:snapToGrid w:val="0"/>
        <w:spacing w:line="360" w:lineRule="auto"/>
        <w:ind w:firstLineChars="200" w:firstLine="641"/>
        <w:jc w:val="center"/>
        <w:rPr>
          <w:rFonts w:ascii="Times New Roman" w:eastAsia="华文行楷" w:hAnsi="Times New Roman" w:cs="Times New Roman"/>
          <w:b/>
          <w:bCs/>
          <w:color w:val="333399"/>
          <w:sz w:val="32"/>
          <w:szCs w:val="24"/>
        </w:rPr>
      </w:pPr>
      <w:r w:rsidRPr="004C709D">
        <w:rPr>
          <w:rFonts w:ascii="Times New Roman" w:eastAsia="华文行楷" w:hAnsi="Times New Roman" w:cs="Times New Roman" w:hint="eastAsia"/>
          <w:b/>
          <w:bCs/>
          <w:color w:val="333399"/>
          <w:sz w:val="32"/>
          <w:szCs w:val="24"/>
        </w:rPr>
        <w:t>环境保护与建设</w:t>
      </w:r>
    </w:p>
    <w:p w14:paraId="075C43A0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生态环境保护与建设</w:t>
      </w:r>
    </w:p>
    <w:p w14:paraId="799AF982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，以《全国生态环境保护纲要》和《青海省黄河、长江源生态功能区生态环境保护纲要》为指导，以遏制生态环境退化、维护生态环境良性循环、促进经济社会可持续发展为目标，进一步加大了生态环境保护与建设力度。全年共落实畜牧业建设资金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3.3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亿元，完成新建围栏草场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481.4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万亩，人工种草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186.6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万亩，牲畜暖棚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89.6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万平方米，改良草场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3647.3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万亩，草地灭鼠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3469.6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万亩，治虫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221.26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万亩。落实林业建设资金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5.1973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亿元，以天然林资源保护工程、退耕还林还草工程、三北及长江流域等重点防护林体系工程为主，共完成造林面积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12.94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万公顷，种草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4.22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万公顷，封山育林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5.05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万公顷。</w:t>
      </w:r>
    </w:p>
    <w:p w14:paraId="4962ECC2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生态功能保护区、自然保护区建设</w:t>
      </w:r>
      <w:r w:rsidRPr="004C709D">
        <w:rPr>
          <w:rFonts w:ascii="Times New Roman" w:eastAsia="宋体" w:hAnsi="Times New Roman" w:cs="Times New Roman"/>
          <w:b/>
          <w:bCs/>
          <w:color w:val="333399"/>
          <w:sz w:val="24"/>
          <w:szCs w:val="24"/>
        </w:rPr>
        <w:t xml:space="preserve"> </w:t>
      </w:r>
    </w:p>
    <w:p w14:paraId="7321A41E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年，《黄河源国家级生态功能保护区规划》和《长江源国家级生态功能保护区规划》通过省级论证和国家生态功能保护区评审委员会的评审，已上报国务院。</w:t>
      </w:r>
    </w:p>
    <w:p w14:paraId="6CA20456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截至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年底，我省建成省级以上自然保护区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8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处，自然保护区面积达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20.61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万平方公里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占国土面积的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28.53%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。完成了“青海大通北川河源区自然保护区”申报的技术评审工作。</w:t>
      </w:r>
    </w:p>
    <w:p w14:paraId="1E8D57BF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农业生态环境保护与生态示范区建设</w:t>
      </w:r>
    </w:p>
    <w:p w14:paraId="2F6C01A5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年，对西宁市及海东地区农村面源污染、城镇周边农区秸秆禁烧、规模化畜禽养殖废水污染和化肥、农药残留等面源污染问题，进行了动态调查和监督检查，保持了秸秆禁烧成果，全年未发生因焚烧</w:t>
      </w:r>
      <w:proofErr w:type="gramStart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秸杆</w:t>
      </w:r>
      <w:proofErr w:type="gramEnd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而造成空气污染和阻碍交通现象。</w:t>
      </w:r>
    </w:p>
    <w:p w14:paraId="5D87E6D0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互助县生态示范区建设进一步加强。《西宁市城南新区国家级生态示范区总体规划》正在加紧编制。</w:t>
      </w:r>
    </w:p>
    <w:p w14:paraId="41AEAB87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工业污染防治</w:t>
      </w:r>
    </w:p>
    <w:p w14:paraId="64F73E72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lastRenderedPageBreak/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年，为加强工业污染防治，推进污染源全面达标排放，根据国家环境保护“十五”计划的目标，在全省积极实施工业污染物排放全面达标，促进产业结构调整和升级，以污染负荷占全省工业污染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65%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53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个企业为重点，制定切实可行的实施方案，认真组织开展重点工业污染源的监督性监测工作，确保了工作目标的实现。截止年底，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53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个重点工业企业有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49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个化学需氧量实现达标排放，达标巩固率为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92.5%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；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6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个重点工业企业的限期治理有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5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个实施完成，重点工业企业污染防治率达到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83.3%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；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53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个重点企业实现污染物全面达标的有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16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 xml:space="preserve"> 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，达标率为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30.2%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</w:t>
      </w:r>
    </w:p>
    <w:p w14:paraId="7C238489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严格执行排污申报登记制度。认真对排污单位进行了变更申报登记和年审工作，在有效维护省级污染源动态数据库基础上，建立了部分地区（如西宁市）的地级数据库，初步建立了三级（国家级、省级、地级）数据库结构。</w:t>
      </w:r>
    </w:p>
    <w:p w14:paraId="79A075E6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按照“积极主动进位，依法加强监督，认真做好服务”的原则，强化建设项目环境保护监督管理。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年全省受理办结了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312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个建设项目环境影响评价审批、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114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个建设项目环保设施竣工验收，全省建设项目环境影响评价执行率和“三同时”执行率分别达到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99.68%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和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96.6%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。加强了对青藏铁路、青藏公路、公伯峡水电站工程等国家重点建设项目的环保监督与服务，推行环境保护目标责任制，开展工程环境监理试点工作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得到了国家环保总局的充分肯定。青藏铁路在我国铁路建设史上第一次实行了施工期工程环境监理制，这一实践为在全国开创建设项目施工期工程监理提供了经验，青藏铁路、公伯峡水电站列为全国首批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13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家重点建设项目开展工程环境监理试点。加大了对公路建设环保行政监察力度，全年共对全省在建的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34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条公路进行了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120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人次的现场监督检查，将各项生态环境恢复措施落到实处，促进了公路建设与环境保护的协调发展。</w:t>
      </w:r>
    </w:p>
    <w:p w14:paraId="1BD7FBC2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通过加大环境监督管理力度，全省“三废”综合利用水平有不同程度的提高。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年工业重复用水率为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 xml:space="preserve"> 84.7%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，比上年提高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0.7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个百分点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工业废水排放达标率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60%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，比上年有所降低。工业废气中，烟尘去除率为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91%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，与上年持平。工业粉尘回收率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74.4%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，比上年提高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1.4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个百分点。全省二氧化硫排放达标率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54%,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与上年基本持平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;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工业粉尘排放达标率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19%,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比上年提高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5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个百分点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;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烟尘排放达标率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33%,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比上年降低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5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个百分点。</w:t>
      </w:r>
    </w:p>
    <w:p w14:paraId="47E1F70D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环境保护投入</w:t>
      </w:r>
    </w:p>
    <w:p w14:paraId="42CF82B1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年，全省环境保护投入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4.43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亿元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 xml:space="preserve">, 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占全省同期国内生产总值的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1.3%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，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lastRenderedPageBreak/>
        <w:t>比上年有所减少。其中污染治理投入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0.28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亿元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“三同时”环境保护投资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0.63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亿元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城市基础设施建设投入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3.43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亿元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环境管理能力建设投入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846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万元。</w:t>
      </w:r>
    </w:p>
    <w:p w14:paraId="2DD59964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放射性污染防治</w:t>
      </w:r>
    </w:p>
    <w:p w14:paraId="766A6A0A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截至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年底，全省放射性废物污染防治设施累计收贮各类放射性废物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4459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公斤、</w:t>
      </w:r>
      <w:proofErr w:type="gramStart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放射性废源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414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枚</w:t>
      </w:r>
      <w:proofErr w:type="gramEnd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、放射性核素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16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种，暂存放射源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123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枚。已退役核设施放射性污染防治设施，填埋放射性污染物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6161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立方米，放射性核素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种。目前，这些放射性污染防治设施运行安全正常，周围环境辐射水平处于本底状态，有效防止了放射性废物和污染物对环境的污染和对公众健康的危害。</w:t>
      </w:r>
    </w:p>
    <w:p w14:paraId="6B73043B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城市环境综合整治</w:t>
      </w:r>
    </w:p>
    <w:p w14:paraId="36763C5A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年，西宁市重点实施了</w:t>
      </w:r>
      <w:proofErr w:type="gramStart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锅炉煤改气</w:t>
      </w:r>
      <w:proofErr w:type="gramEnd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、城市绿化美化、西宁南北山绿化、道路扩建改造、建筑施工场地扬尘污染控制等工程。全年新增公共绿地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38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公顷，人均公共绿地面积增加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0.4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平方米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由上年的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4.5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平方米提高到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4.9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平方米，建成区绿化覆盖率提高到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23%,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比上年提高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个百分点。全年完成</w:t>
      </w:r>
      <w:proofErr w:type="gramStart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锅炉煤改气</w:t>
      </w:r>
      <w:proofErr w:type="gramEnd"/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434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台，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1127.15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蒸吨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市区范围内锅炉、窑炉和茶水炉等大面积、大范围冒黑烟现象得到控制。同时在市区范围内开展了对燃煤餐饮业的清洁能源改造工作，完成了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119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家燃煤餐饮业煤（油）改气工程，燃煤餐饮业的清洁能源使用率达到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17.8%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。汽车油改</w:t>
      </w:r>
      <w:proofErr w:type="gramStart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气取得</w:t>
      </w:r>
      <w:proofErr w:type="gramEnd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了显著成效。据统计，市区公交车辆共计改造投入使用双燃料车辆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774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台，双燃料改造率达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89.4%,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其中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市公交公司完成了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774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台所有营运车辆油改</w:t>
      </w:r>
      <w:proofErr w:type="gramStart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气工作</w:t>
      </w:r>
      <w:proofErr w:type="gramEnd"/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双燃料改造率达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100%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</w:t>
      </w:r>
    </w:p>
    <w:p w14:paraId="70F61857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我省城市生活污水处理率实现零的突破。西宁市第一座污水处理厂经过两年的建设于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7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月投入运行，日处理生活污水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万吨，为设计处理能力的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23%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。经过半年的运行共处理生活污水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330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万吨，去除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COD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量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808.5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吨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去除氨氮量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137.6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吨，实现了达标排放。</w:t>
      </w:r>
    </w:p>
    <w:p w14:paraId="2C10C508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进一步加强了交通噪声的综合整治力度，划定了禁鸣区域，启动了禁鸣工程，设置了禁鸣标示牌，使市区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35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条主要交通干线机动车禁鸣率控制在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10%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以下。</w:t>
      </w:r>
    </w:p>
    <w:p w14:paraId="1A638E76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环境监督与管理</w:t>
      </w:r>
    </w:p>
    <w:p w14:paraId="785D1470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加大了环境保护执法力度。开展了贯彻《中华人民共和国水污染防治法》、《青海省湟水流域水污染防治条例》实施情况执法检查；对禁止采集和销售发菜、制止滥挖甘草和麻黄草、禁采砂金情况进行了执法检查。处理解决了一批群众普遍关心的环境热点、难点问题。在全省开展了严查环境违法行为和遏制污染反弹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lastRenderedPageBreak/>
        <w:t>工作，对重点地区、重点行业和重点企业进行专项检查、重点监控，在严查工作中，全省各地共出动检查人次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999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次、检查企业数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322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个，使全省立案查处的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29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个污染案件结案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27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个，办结率达到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93.1%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</w:t>
      </w:r>
    </w:p>
    <w:p w14:paraId="25E60925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环境监理工作取得成绩。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 xml:space="preserve">  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年，全省各级环境监理机构认真履行环境监理现场执法监督职能，不断加大现场监督执法力度。全年共进行现场监督检查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4903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人（次），其中对现有环保设施运行情况现场监督检查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1795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人次，对“三同时”建设项目现场监督检查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563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人次；限期治理项目现场检查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417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人次；排污申报检查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608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人次。处理群众来信来访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925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件，处理率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99%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。</w:t>
      </w:r>
    </w:p>
    <w:p w14:paraId="04F99F0C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环保产业</w:t>
      </w:r>
    </w:p>
    <w:p w14:paraId="77573139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我省环境保护产业经过数年的发展，现已进入稳步发展阶段。目前，已形成环境保护产品生产、环境咨询服务、废物循环利用、环境工程设计、环保设施运营等领域。截止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2002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年底，全省从事环境保护相关产业的单位共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34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个，从业人员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612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人，年收入总额达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3222.45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万元。</w:t>
      </w:r>
    </w:p>
    <w:p w14:paraId="67085BCE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环境科研、环境监测和环境信息稳步发展。</w:t>
      </w:r>
    </w:p>
    <w:p w14:paraId="46B6D0AB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省、市环境科学研究部门针对我省环境保护工作中存在的问题，开展了一系列课题研究，为环境保护工作提供了科技支持。</w:t>
      </w:r>
    </w:p>
    <w:p w14:paraId="6E6FF9FF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初步建成了以青海省环境监测中心站为中心，西宁市等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5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个二级站和大通县等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10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个三级站为基础的全省环境监测体系。每年提供近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1.2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万个监测数据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,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为环境监督管理提供了科学依据。环境信息建设进一步加强。完成了与国家环保总局信息中心和省环境信息中心的广域互联，建立了省局与国家环保总局电子公文传输系统，建成了全省环保系统卫星地球站，为实现环境信息资源共享和为环境管理和决策服务奠定了基础。</w:t>
      </w:r>
    </w:p>
    <w:p w14:paraId="58D6AF96" w14:textId="77777777" w:rsidR="004C709D" w:rsidRPr="004C709D" w:rsidRDefault="004C709D" w:rsidP="004C709D">
      <w:pPr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b/>
          <w:bCs/>
          <w:color w:val="333399"/>
          <w:sz w:val="24"/>
          <w:szCs w:val="24"/>
        </w:rPr>
        <w:t>环保宣传教育与国际合作交流进一步深入。</w:t>
      </w:r>
    </w:p>
    <w:p w14:paraId="3F1AE263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环境宣传以环境警示教育为中心，组织开展了多种形式的警示教育活动。“六·五”期间，举办了西宁地区大型环保警示教育宣传活动和“我与环保同行”万人签名等活动。在首届环青海湖国际公路自行车赛和“金银滩王洛宾艺术节”活动中，在青海湖</w:t>
      </w:r>
      <w:proofErr w:type="gramStart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畔进行</w:t>
      </w:r>
      <w:proofErr w:type="gramEnd"/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了“青海湖环湖生态环境保护”大型环境警示教育科普宣传活动，展出系列展板</w:t>
      </w:r>
      <w:r w:rsidRPr="004C709D">
        <w:rPr>
          <w:rFonts w:ascii="Times New Roman" w:eastAsia="宋体" w:hAnsi="Times New Roman" w:cs="Times New Roman"/>
          <w:color w:val="333399"/>
          <w:sz w:val="24"/>
          <w:szCs w:val="24"/>
        </w:rPr>
        <w:t>300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多块，受教育牧民达到万余人次。努力抓好环保舆论宣传。摄制播放了《关注水环境》、《保护江河源生物多样性》等五期环保专题节目。在部分中、小学继续开展绿色学校创建活动。通过加大环保宣传力度，社</w:t>
      </w: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lastRenderedPageBreak/>
        <w:t>会各界和公众的环境意识进一步提高。</w:t>
      </w:r>
    </w:p>
    <w:p w14:paraId="056BC217" w14:textId="77777777" w:rsidR="004C709D" w:rsidRPr="004C709D" w:rsidRDefault="004C709D" w:rsidP="004C709D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333399"/>
          <w:sz w:val="24"/>
          <w:szCs w:val="24"/>
        </w:rPr>
      </w:pPr>
      <w:r w:rsidRPr="004C709D">
        <w:rPr>
          <w:rFonts w:ascii="Times New Roman" w:eastAsia="宋体" w:hAnsi="Times New Roman" w:cs="Times New Roman" w:hint="eastAsia"/>
          <w:color w:val="333399"/>
          <w:sz w:val="24"/>
          <w:szCs w:val="24"/>
        </w:rPr>
        <w:t>积极参与中瑞合作管理培训项目，承担并完成了青海湖旅游的环境保护分课题，为青海湖旅游环境保护工作提出了切实可行、便于操作的管理措施和意见。</w:t>
      </w:r>
    </w:p>
    <w:p w14:paraId="7677539A" w14:textId="77777777" w:rsidR="00296631" w:rsidRPr="004C709D" w:rsidRDefault="00296631"/>
    <w:sectPr w:rsidR="00296631" w:rsidRPr="004C70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行楷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09D"/>
    <w:rsid w:val="00296631"/>
    <w:rsid w:val="004C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DD681"/>
  <w15:chartTrackingRefBased/>
  <w15:docId w15:val="{5B6E965B-AB0A-42F0-B468-7616C2378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08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1060</Words>
  <Characters>6042</Characters>
  <Application>Microsoft Office Word</Application>
  <DocSecurity>0</DocSecurity>
  <Lines>50</Lines>
  <Paragraphs>14</Paragraphs>
  <ScaleCrop>false</ScaleCrop>
  <Company/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 鑫</dc:creator>
  <cp:keywords/>
  <dc:description/>
  <cp:lastModifiedBy>何 鑫</cp:lastModifiedBy>
  <cp:revision>1</cp:revision>
  <dcterms:created xsi:type="dcterms:W3CDTF">2020-08-02T14:13:00Z</dcterms:created>
  <dcterms:modified xsi:type="dcterms:W3CDTF">2020-08-02T14:20:00Z</dcterms:modified>
</cp:coreProperties>
</file>