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600" w:beforeAutospacing="0" w:after="300" w:afterAutospacing="0"/>
        <w:jc w:val="center"/>
        <w:rPr>
          <w:rFonts w:ascii="黑体" w:hAnsi="宋体" w:eastAsia="黑体" w:cs="黑体"/>
          <w:color w:val="004186"/>
          <w:sz w:val="30"/>
          <w:szCs w:val="30"/>
        </w:rPr>
      </w:pPr>
      <w:r>
        <w:rPr>
          <w:rFonts w:hint="eastAsia" w:ascii="黑体" w:hAnsi="宋体" w:eastAsia="黑体" w:cs="黑体"/>
          <w:color w:val="004186"/>
          <w:sz w:val="30"/>
          <w:szCs w:val="30"/>
        </w:rPr>
        <w:t>海南州2019年国民经济和社会发展统计公报</w:t>
      </w:r>
    </w:p>
    <w:p>
      <w:pPr>
        <w:pStyle w:val="2"/>
        <w:keepNext w:val="0"/>
        <w:keepLines w:val="0"/>
        <w:widowControl/>
        <w:suppressLineNumbers w:val="0"/>
        <w:jc w:val="center"/>
      </w:pPr>
      <w:r>
        <w:t xml:space="preserve">来源：海南州统计局 日期：2020-04-09 11:16:00      </w:t>
      </w:r>
    </w:p>
    <w:p>
      <w:pPr>
        <w:pStyle w:val="2"/>
        <w:keepNext w:val="0"/>
        <w:keepLines w:val="0"/>
        <w:widowControl/>
        <w:suppressLineNumbers w:val="0"/>
        <w:jc w:val="both"/>
      </w:pPr>
      <w:r>
        <w:rPr>
          <w:rStyle w:val="5"/>
          <w:color w:val="000000"/>
        </w:rPr>
        <w:t>                                              海南州统计局 国家统计局海南州调查队</w:t>
      </w:r>
      <w:r>
        <w:rPr>
          <w:color w:val="000000"/>
        </w:rPr>
        <w:t> </w:t>
      </w:r>
      <w:r>
        <w:rPr>
          <w:color w:val="000000"/>
        </w:rPr>
        <w:br w:type="textWrapping"/>
      </w:r>
      <w:r>
        <w:rPr>
          <w:color w:val="000000"/>
        </w:rPr>
        <w:t>                                              </w:t>
      </w:r>
      <w:r>
        <w:rPr>
          <w:rStyle w:val="5"/>
          <w:color w:val="000000"/>
        </w:rPr>
        <w:t>                (2020年4月)</w:t>
      </w:r>
      <w:r>
        <w:rPr>
          <w:color w:val="000000"/>
        </w:rPr>
        <w:t xml:space="preserve"> </w:t>
      </w:r>
      <w:r>
        <w:rPr>
          <w:color w:val="000000"/>
        </w:rPr>
        <w:br w:type="textWrapping"/>
      </w:r>
      <w:r>
        <w:rPr>
          <w:color w:val="000000"/>
        </w:rPr>
        <w:t xml:space="preserve">    2019年，在州委、州政府的坚强领导下，全州上下坚持以习近平新时代中国特色社会主义思想为指导，全面落实省委、省政府决策部署，坚持稳中求进、创特提质工作总基调，践行新发展理念，深入落实“五四战略”，奋力推进“一优两高”，统筹推进稳增长、促改革、调结构、惠民生、防风险、保稳定，经济运行稳中有进、稳中向好，转型升级扎实推进，发展质量稳步提高，人民生活持续改善，社会事业全面进步，为全面建成小康社会奠定了坚实基础。 </w:t>
      </w:r>
      <w:r>
        <w:rPr>
          <w:color w:val="000000"/>
        </w:rPr>
        <w:br w:type="textWrapping"/>
      </w:r>
      <w:r>
        <w:rPr>
          <w:color w:val="000000"/>
        </w:rPr>
        <w:t xml:space="preserve">    </w:t>
      </w:r>
      <w:r>
        <w:rPr>
          <w:rStyle w:val="5"/>
          <w:color w:val="000000"/>
        </w:rPr>
        <w:t>一、 综 合</w:t>
      </w:r>
      <w:r>
        <w:rPr>
          <w:color w:val="000000"/>
        </w:rPr>
        <w:t xml:space="preserve"> </w:t>
      </w:r>
      <w:r>
        <w:rPr>
          <w:color w:val="000000"/>
        </w:rPr>
        <w:br w:type="textWrapping"/>
      </w:r>
      <w:r>
        <w:rPr>
          <w:color w:val="000000"/>
        </w:rPr>
        <w:t>    经省统计局统一核算，全年全州地区生产总值174.66亿元，按可比价格计算，比上年增长7.1%。其中，第一产业增加值43.59亿元，增长4.6%；第二产业增加值73.93亿元，增长10.2%；第三产业增加值57.14亿元，增长3.6%。三次产业比例由上年的24.5:45.2:30.3，调整为25.0 :42.3:32.7。全州人均生产总值为36605元，比上年增长6.4%。 </w:t>
      </w:r>
    </w:p>
    <w:p>
      <w:r>
        <w:drawing>
          <wp:inline distT="0" distB="0" distL="114300" distR="114300">
            <wp:extent cx="5267325" cy="2808605"/>
            <wp:effectExtent l="0" t="0" r="952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7325" cy="2808605"/>
                    </a:xfrm>
                    <a:prstGeom prst="rect">
                      <a:avLst/>
                    </a:prstGeom>
                    <a:noFill/>
                    <a:ln>
                      <a:noFill/>
                    </a:ln>
                  </pic:spPr>
                </pic:pic>
              </a:graphicData>
            </a:graphic>
          </wp:inline>
        </w:drawing>
      </w:r>
    </w:p>
    <w:p>
      <w:pPr>
        <w:rPr>
          <w:rFonts w:ascii="宋体" w:hAnsi="宋体" w:eastAsia="宋体" w:cs="宋体"/>
          <w:color w:val="000000"/>
          <w:sz w:val="24"/>
          <w:szCs w:val="24"/>
        </w:rPr>
      </w:pPr>
      <w:r>
        <w:rPr>
          <w:rFonts w:ascii="宋体" w:hAnsi="宋体" w:eastAsia="宋体" w:cs="宋体"/>
          <w:color w:val="000000"/>
          <w:sz w:val="24"/>
          <w:szCs w:val="24"/>
        </w:rPr>
        <w:t>年末全州常住总人口47.80万人，比上年末增加0.17万人。按城乡分，城镇常住人口21.09万人，比上年末增加0.66万人，占全州常住人口的比重（常住人口城镇化率）为44.1%，比上年末提高1.2个百分点。乡村常住人口26.71万人，比上年末减少0.49万人，占全州常住人口比重为55.9%。少数民族人口37.51万人，占78.5%。全年出生人口0.63万人，人口出生率为13.11‰；死亡人口0.26万人，人口死亡率为5.37‰；全年人口自然增长率7.74‰，比上年低0.61个千分点。年末全州户籍人口为47.15万人，其中城镇户籍人口10.7万人，占全州户籍人口的比重（户籍人口城镇化率）为22.7%，与上年末持平。</w:t>
      </w:r>
    </w:p>
    <w:p>
      <w:r>
        <w:drawing>
          <wp:inline distT="0" distB="0" distL="114300" distR="114300">
            <wp:extent cx="5273040" cy="4012565"/>
            <wp:effectExtent l="0" t="0" r="381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3040" cy="4012565"/>
                    </a:xfrm>
                    <a:prstGeom prst="rect">
                      <a:avLst/>
                    </a:prstGeom>
                    <a:noFill/>
                    <a:ln>
                      <a:noFill/>
                    </a:ln>
                  </pic:spPr>
                </pic:pic>
              </a:graphicData>
            </a:graphic>
          </wp:inline>
        </w:drawing>
      </w:r>
    </w:p>
    <w:p>
      <w:pPr>
        <w:rPr>
          <w:rFonts w:ascii="宋体" w:hAnsi="宋体" w:eastAsia="宋体" w:cs="宋体"/>
          <w:color w:val="000000"/>
          <w:sz w:val="24"/>
          <w:szCs w:val="24"/>
        </w:rPr>
      </w:pPr>
      <w:r>
        <w:rPr>
          <w:rFonts w:ascii="宋体" w:hAnsi="宋体" w:eastAsia="宋体" w:cs="宋体"/>
          <w:color w:val="000000"/>
          <w:sz w:val="24"/>
          <w:szCs w:val="24"/>
        </w:rPr>
        <w:t xml:space="preserve">全年全州城镇新增就业人员2447人。年末城镇登记失业率2.5%。全年农牧区劳动力转移就业4.85万人次，实现劳务收入3.50亿元。 </w:t>
      </w:r>
      <w:r>
        <w:rPr>
          <w:rFonts w:ascii="宋体" w:hAnsi="宋体" w:eastAsia="宋体" w:cs="宋体"/>
          <w:color w:val="000000"/>
          <w:sz w:val="24"/>
          <w:szCs w:val="24"/>
        </w:rPr>
        <w:br w:type="textWrapping"/>
      </w:r>
      <w:r>
        <w:rPr>
          <w:rFonts w:ascii="宋体" w:hAnsi="宋体" w:eastAsia="宋体" w:cs="宋体"/>
          <w:color w:val="000000"/>
          <w:sz w:val="24"/>
          <w:szCs w:val="24"/>
        </w:rPr>
        <w:t>    省定监测点共和地区全年居民消费价格总水平比上年上涨2.7%。 </w:t>
      </w:r>
    </w:p>
    <w:p>
      <w:r>
        <w:drawing>
          <wp:inline distT="0" distB="0" distL="114300" distR="114300">
            <wp:extent cx="5270500" cy="2945765"/>
            <wp:effectExtent l="0" t="0" r="635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0500" cy="2945765"/>
                    </a:xfrm>
                    <a:prstGeom prst="rect">
                      <a:avLst/>
                    </a:prstGeom>
                    <a:noFill/>
                    <a:ln>
                      <a:noFill/>
                    </a:ln>
                  </pic:spPr>
                </pic:pic>
              </a:graphicData>
            </a:graphic>
          </wp:inline>
        </w:drawing>
      </w:r>
    </w:p>
    <w:p>
      <w:r>
        <w:drawing>
          <wp:inline distT="0" distB="0" distL="114300" distR="114300">
            <wp:extent cx="4552950" cy="4514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552950" cy="4514850"/>
                    </a:xfrm>
                    <a:prstGeom prst="rect">
                      <a:avLst/>
                    </a:prstGeom>
                    <a:noFill/>
                    <a:ln>
                      <a:noFill/>
                    </a:ln>
                  </pic:spPr>
                </pic:pic>
              </a:graphicData>
            </a:graphic>
          </wp:inline>
        </w:drawing>
      </w:r>
    </w:p>
    <w:p>
      <w:pPr>
        <w:rPr>
          <w:rFonts w:ascii="宋体" w:hAnsi="宋体" w:eastAsia="宋体" w:cs="宋体"/>
          <w:color w:val="000000"/>
          <w:sz w:val="24"/>
          <w:szCs w:val="24"/>
        </w:rPr>
      </w:pPr>
      <w:r>
        <w:rPr>
          <w:rFonts w:ascii="宋体" w:hAnsi="宋体" w:eastAsia="宋体" w:cs="宋体"/>
          <w:color w:val="000000"/>
          <w:sz w:val="24"/>
          <w:szCs w:val="24"/>
        </w:rPr>
        <w:t>农业生产资料价格水平上涨4.8%，商品零售价格水平上涨2.1%。</w:t>
      </w:r>
    </w:p>
    <w:p>
      <w:pPr>
        <w:numPr>
          <w:ilvl w:val="0"/>
          <w:numId w:val="1"/>
        </w:numPr>
        <w:rPr>
          <w:rFonts w:ascii="宋体" w:hAnsi="宋体" w:eastAsia="宋体" w:cs="宋体"/>
          <w:color w:val="000000"/>
          <w:sz w:val="24"/>
          <w:szCs w:val="24"/>
        </w:rPr>
      </w:pPr>
      <w:r>
        <w:rPr>
          <w:rStyle w:val="5"/>
          <w:rFonts w:ascii="宋体" w:hAnsi="宋体" w:eastAsia="宋体" w:cs="宋体"/>
          <w:color w:val="000000"/>
          <w:sz w:val="24"/>
          <w:szCs w:val="24"/>
        </w:rPr>
        <w:t>种植业和畜牧业</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全年全州农作物总播种面积130.56万亩，与上年持平。粮食作物播种面积79.63万亩，比上年增加11.06万亩。其中：小麦15.27万亩，青稞57.54万亩，马铃薯2.19万亩。油料作物播种面积29.53万亩，减少11.81万亩。中草药材 2.55万亩，减少183亩。蔬菜播种面积4.56万亩，增加0.31万亩。全年粮食产量14.28万吨，增长13.5%；油料产量3.01万吨，下降21.1%；中草药材产量0.31万吨，增长90.7%；蔬菜产量5.30万吨，下降16.4%。 </w:t>
      </w:r>
    </w:p>
    <w:p>
      <w:pPr>
        <w:numPr>
          <w:numId w:val="0"/>
        </w:numPr>
      </w:pPr>
      <w:r>
        <w:drawing>
          <wp:inline distT="0" distB="0" distL="114300" distR="114300">
            <wp:extent cx="5272405" cy="3474720"/>
            <wp:effectExtent l="0" t="0" r="444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72405" cy="3474720"/>
                    </a:xfrm>
                    <a:prstGeom prst="rect">
                      <a:avLst/>
                    </a:prstGeom>
                    <a:noFill/>
                    <a:ln>
                      <a:noFill/>
                    </a:ln>
                  </pic:spPr>
                </pic:pic>
              </a:graphicData>
            </a:graphic>
          </wp:inline>
        </w:drawing>
      </w:r>
    </w:p>
    <w:p>
      <w:pPr>
        <w:numPr>
          <w:numId w:val="0"/>
        </w:numPr>
        <w:rPr>
          <w:rFonts w:ascii="宋体" w:hAnsi="宋体" w:eastAsia="宋体" w:cs="宋体"/>
          <w:color w:val="000000"/>
          <w:sz w:val="24"/>
          <w:szCs w:val="24"/>
        </w:rPr>
      </w:pPr>
      <w:r>
        <w:rPr>
          <w:rFonts w:ascii="宋体" w:hAnsi="宋体" w:eastAsia="宋体" w:cs="宋体"/>
          <w:color w:val="000000"/>
          <w:sz w:val="24"/>
          <w:szCs w:val="24"/>
        </w:rPr>
        <w:t>全年全州育活仔畜207.03万头（只），仔畜成活率95.6%，提高0.5个百分点；成畜死亡6.13万头（只），死亡率1.34%，下降0.1个百分点；年末草食畜存栏461.20万头（只），各类牲畜出栏248.05万头（只），出栏率54.4%，提高7.0个百分点；商品率46.38%，提高3.2个百分点。全年全州肉类总产量6.84万吨，增长16.9%。</w:t>
      </w:r>
    </w:p>
    <w:p>
      <w:pPr>
        <w:numPr>
          <w:numId w:val="0"/>
        </w:numPr>
      </w:pPr>
      <w:r>
        <w:drawing>
          <wp:inline distT="0" distB="0" distL="114300" distR="114300">
            <wp:extent cx="5273040" cy="2364105"/>
            <wp:effectExtent l="0" t="0" r="3810"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273040" cy="2364105"/>
                    </a:xfrm>
                    <a:prstGeom prst="rect">
                      <a:avLst/>
                    </a:prstGeom>
                    <a:noFill/>
                    <a:ln>
                      <a:noFill/>
                    </a:ln>
                  </pic:spPr>
                </pic:pic>
              </a:graphicData>
            </a:graphic>
          </wp:inline>
        </w:drawing>
      </w:r>
    </w:p>
    <w:p>
      <w:pPr>
        <w:numPr>
          <w:ilvl w:val="0"/>
          <w:numId w:val="1"/>
        </w:numPr>
        <w:ind w:left="0" w:leftChars="0" w:firstLine="0" w:firstLineChars="0"/>
        <w:rPr>
          <w:rFonts w:ascii="宋体" w:hAnsi="宋体" w:eastAsia="宋体" w:cs="宋体"/>
          <w:color w:val="000000"/>
          <w:sz w:val="24"/>
          <w:szCs w:val="24"/>
        </w:rPr>
      </w:pPr>
      <w:r>
        <w:rPr>
          <w:rStyle w:val="5"/>
          <w:rFonts w:ascii="宋体" w:hAnsi="宋体" w:eastAsia="宋体" w:cs="宋体"/>
          <w:color w:val="000000"/>
          <w:sz w:val="24"/>
          <w:szCs w:val="24"/>
        </w:rPr>
        <w:t>工业和建筑业</w:t>
      </w:r>
      <w:r>
        <w:rPr>
          <w:rFonts w:ascii="宋体" w:hAnsi="宋体" w:eastAsia="宋体" w:cs="宋体"/>
          <w:color w:val="000000"/>
          <w:sz w:val="24"/>
          <w:szCs w:val="24"/>
        </w:rPr>
        <w:t> </w:t>
      </w:r>
      <w:r>
        <w:rPr>
          <w:rFonts w:ascii="宋体" w:hAnsi="宋体" w:eastAsia="宋体" w:cs="宋体"/>
          <w:color w:val="000000"/>
          <w:sz w:val="24"/>
          <w:szCs w:val="24"/>
        </w:rPr>
        <w:br w:type="textWrapping"/>
      </w:r>
      <w:r>
        <w:rPr>
          <w:rFonts w:ascii="宋体" w:hAnsi="宋体" w:eastAsia="宋体" w:cs="宋体"/>
          <w:color w:val="000000"/>
          <w:sz w:val="24"/>
          <w:szCs w:val="24"/>
        </w:rPr>
        <w:t>    全年全州实现全部工业增加值60.67亿元，按可比价格计算，比上年增长11.1%。其中，规模以上工业增加值增长11.1%。在规模以上工业中，按经济类型分，国有企业增加值增长13.9%；股份制企业增加值增长42.6%。按门类分，制造业增加值增长6.3%，电力、燃气及水的生产和供应业增加值增长11.7%。</w:t>
      </w:r>
    </w:p>
    <w:p>
      <w:pPr>
        <w:numPr>
          <w:numId w:val="0"/>
        </w:numPr>
        <w:ind w:leftChars="0"/>
      </w:pPr>
      <w:r>
        <w:drawing>
          <wp:inline distT="0" distB="0" distL="114300" distR="114300">
            <wp:extent cx="5271770" cy="2830195"/>
            <wp:effectExtent l="0" t="0" r="508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271770" cy="2830195"/>
                    </a:xfrm>
                    <a:prstGeom prst="rect">
                      <a:avLst/>
                    </a:prstGeom>
                    <a:noFill/>
                    <a:ln>
                      <a:noFill/>
                    </a:ln>
                  </pic:spPr>
                </pic:pic>
              </a:graphicData>
            </a:graphic>
          </wp:inline>
        </w:drawing>
      </w:r>
    </w:p>
    <w:p>
      <w:pPr>
        <w:numPr>
          <w:numId w:val="0"/>
        </w:numPr>
        <w:ind w:leftChars="0"/>
        <w:rPr>
          <w:rFonts w:ascii="宋体" w:hAnsi="宋体" w:eastAsia="宋体" w:cs="宋体"/>
          <w:color w:val="000000"/>
          <w:sz w:val="24"/>
          <w:szCs w:val="24"/>
        </w:rPr>
      </w:pPr>
      <w:r>
        <w:rPr>
          <w:rFonts w:ascii="宋体" w:hAnsi="宋体" w:eastAsia="宋体" w:cs="宋体"/>
          <w:color w:val="000000"/>
          <w:sz w:val="24"/>
          <w:szCs w:val="24"/>
        </w:rPr>
        <w:t>全年全州规模以上工业6个行业中，4个行业增加值较上年呈增长态势</w:t>
      </w:r>
    </w:p>
    <w:p>
      <w:pPr>
        <w:numPr>
          <w:numId w:val="0"/>
        </w:numPr>
        <w:ind w:leftChars="0"/>
      </w:pPr>
      <w:r>
        <w:drawing>
          <wp:inline distT="0" distB="0" distL="114300" distR="114300">
            <wp:extent cx="4743450" cy="26289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4743450" cy="2628900"/>
                    </a:xfrm>
                    <a:prstGeom prst="rect">
                      <a:avLst/>
                    </a:prstGeom>
                    <a:noFill/>
                    <a:ln>
                      <a:noFill/>
                    </a:ln>
                  </pic:spPr>
                </pic:pic>
              </a:graphicData>
            </a:graphic>
          </wp:inline>
        </w:drawing>
      </w:r>
    </w:p>
    <w:p>
      <w:pPr>
        <w:numPr>
          <w:numId w:val="0"/>
        </w:numPr>
        <w:ind w:leftChars="0"/>
        <w:rPr>
          <w:rFonts w:ascii="宋体" w:hAnsi="宋体" w:eastAsia="宋体" w:cs="宋体"/>
          <w:color w:val="000000"/>
          <w:sz w:val="24"/>
          <w:szCs w:val="24"/>
        </w:rPr>
      </w:pPr>
      <w:r>
        <w:rPr>
          <w:rFonts w:ascii="宋体" w:hAnsi="宋体" w:eastAsia="宋体" w:cs="宋体"/>
          <w:color w:val="000000"/>
          <w:sz w:val="24"/>
          <w:szCs w:val="24"/>
        </w:rPr>
        <w:t>规模以上新能源行业增加值占规模以上工业增加值的42.2%，增长15.7%。其中，光伏发电增加值增长8.1%、风力发电增加值增长93.0%。</w:t>
      </w:r>
    </w:p>
    <w:p>
      <w:pPr>
        <w:numPr>
          <w:numId w:val="0"/>
        </w:numPr>
        <w:ind w:leftChars="0"/>
      </w:pPr>
      <w:r>
        <w:drawing>
          <wp:inline distT="0" distB="0" distL="114300" distR="114300">
            <wp:extent cx="5048250" cy="33242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048250" cy="3324225"/>
                    </a:xfrm>
                    <a:prstGeom prst="rect">
                      <a:avLst/>
                    </a:prstGeom>
                    <a:noFill/>
                    <a:ln>
                      <a:noFill/>
                    </a:ln>
                  </pic:spPr>
                </pic:pic>
              </a:graphicData>
            </a:graphic>
          </wp:inline>
        </w:drawing>
      </w:r>
    </w:p>
    <w:p>
      <w:pPr>
        <w:numPr>
          <w:numId w:val="0"/>
        </w:numPr>
        <w:ind w:leftChars="0"/>
        <w:rPr>
          <w:rFonts w:ascii="宋体" w:hAnsi="宋体" w:eastAsia="宋体" w:cs="宋体"/>
          <w:color w:val="000000"/>
          <w:sz w:val="24"/>
          <w:szCs w:val="24"/>
        </w:rPr>
      </w:pPr>
      <w:r>
        <w:rPr>
          <w:rFonts w:ascii="宋体" w:hAnsi="宋体" w:eastAsia="宋体" w:cs="宋体"/>
          <w:color w:val="000000"/>
          <w:sz w:val="24"/>
          <w:szCs w:val="24"/>
        </w:rPr>
        <w:t xml:space="preserve">截至2019年底，全州37户规模以上工业企业（不含省反馈企业）实现主营业务收入52.8亿元，增长8.8%。实现利润总额13.42亿元，下降1.8%。全州规模以上工业企业亏损0.81亿元，亏损企业5户，亏损面13.5%。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全年全州建筑业增加值13.26亿元，按可比价格计算，比上年增长3.0%。年末全州具有资质等级的总承包和专业承包建筑企业22个，比上年末减少2个，劳务分包2个，与上年末持平。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w:t>
      </w:r>
      <w:r>
        <w:rPr>
          <w:rStyle w:val="5"/>
          <w:rFonts w:ascii="宋体" w:hAnsi="宋体" w:eastAsia="宋体" w:cs="宋体"/>
          <w:color w:val="000000"/>
          <w:sz w:val="24"/>
          <w:szCs w:val="24"/>
        </w:rPr>
        <w:t>四、 服务业</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批发和零售业增加值3.75亿元，比上年增长2.6%；交通运输、仓储和邮政业增加值4.51亿元，增长0.6%；住宿和餐饮业增加值2.86亿元，增长7.3%；金融业增加值5.98亿元，下降1.7%；房地产业增加值4.06亿元，增长7.4%。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年末全州公路通车里程12607公里，比上年末增加191公里，增长1.5%。 </w:t>
      </w:r>
      <w:r>
        <w:rPr>
          <w:rFonts w:ascii="宋体" w:hAnsi="宋体" w:eastAsia="宋体" w:cs="宋体"/>
          <w:color w:val="000000"/>
          <w:sz w:val="24"/>
          <w:szCs w:val="24"/>
        </w:rPr>
        <w:br w:type="textWrapping"/>
      </w:r>
      <w:r>
        <w:rPr>
          <w:rFonts w:ascii="宋体" w:hAnsi="宋体" w:eastAsia="宋体" w:cs="宋体"/>
          <w:color w:val="000000"/>
          <w:sz w:val="24"/>
          <w:szCs w:val="24"/>
        </w:rPr>
        <w:t>    年末全州营运车辆保有量4465辆，其中，公路旅客营运车148辆，公路货物营运车4317辆。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邮政业务量0.2亿元，比上年增长12.8%。邮政业完成函件业务6.25万件，包裹业务5.24万件，快递业务量27.82万件，快递业务收入1308.38万元（比上年增长16.9%）。全年电信业务量2.45亿元，比上年下降19.4%。年末移动电话用户43.59万户，比上年下降3.0%；固定电话用户5.46万户，增长16.9%。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w:t>
      </w:r>
      <w:r>
        <w:rPr>
          <w:rStyle w:val="5"/>
          <w:rFonts w:ascii="宋体" w:hAnsi="宋体" w:eastAsia="宋体" w:cs="宋体"/>
          <w:color w:val="000000"/>
          <w:sz w:val="24"/>
          <w:szCs w:val="24"/>
        </w:rPr>
        <w:t>五、固定资产投资与房地产开发</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全年全州全社会固定资产投资同口径增长26.2%。其中，民间投资下降34.7%。在全社会固定资产投资中，按投资类型分，国有及国有控股投资增长22.3%，有限责任公司投资增长37.7%，私营个体投资下降9.7%。按产业分，第一产业投资下降26.9%；第二产业投资增长39.3%，其中，新能源发电行业投资增长49.1%；第三产业投资增长4.9%。 </w:t>
      </w:r>
    </w:p>
    <w:p>
      <w:pPr>
        <w:numPr>
          <w:numId w:val="0"/>
        </w:numPr>
        <w:ind w:leftChars="0"/>
      </w:pPr>
      <w:r>
        <w:drawing>
          <wp:inline distT="0" distB="0" distL="114300" distR="114300">
            <wp:extent cx="5272405" cy="2533015"/>
            <wp:effectExtent l="0" t="0" r="444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272405" cy="2533015"/>
                    </a:xfrm>
                    <a:prstGeom prst="rect">
                      <a:avLst/>
                    </a:prstGeom>
                    <a:noFill/>
                    <a:ln>
                      <a:noFill/>
                    </a:ln>
                  </pic:spPr>
                </pic:pic>
              </a:graphicData>
            </a:graphic>
          </wp:inline>
        </w:drawing>
      </w:r>
    </w:p>
    <w:p>
      <w:pPr>
        <w:numPr>
          <w:numId w:val="0"/>
        </w:numPr>
        <w:ind w:leftChars="0"/>
      </w:pPr>
      <w:r>
        <w:drawing>
          <wp:inline distT="0" distB="0" distL="114300" distR="114300">
            <wp:extent cx="4391025" cy="33432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4391025" cy="3343275"/>
                    </a:xfrm>
                    <a:prstGeom prst="rect">
                      <a:avLst/>
                    </a:prstGeom>
                    <a:noFill/>
                    <a:ln>
                      <a:noFill/>
                    </a:ln>
                  </pic:spPr>
                </pic:pic>
              </a:graphicData>
            </a:graphic>
          </wp:inline>
        </w:drawing>
      </w:r>
    </w:p>
    <w:p>
      <w:pPr>
        <w:numPr>
          <w:numId w:val="0"/>
        </w:numPr>
        <w:ind w:leftChars="0"/>
        <w:rPr>
          <w:rFonts w:ascii="宋体" w:hAnsi="宋体" w:eastAsia="宋体" w:cs="宋体"/>
          <w:color w:val="000000"/>
          <w:sz w:val="24"/>
          <w:szCs w:val="24"/>
        </w:rPr>
      </w:pPr>
      <w:r>
        <w:rPr>
          <w:rFonts w:ascii="宋体" w:hAnsi="宋体" w:eastAsia="宋体" w:cs="宋体"/>
          <w:color w:val="000000"/>
          <w:sz w:val="24"/>
          <w:szCs w:val="24"/>
        </w:rPr>
        <w:t>全州房地产开发投资比上年增长3.9倍。房屋施工面积43.17万平方米，增长5.5倍；商品房销售面积2.83万平方米，增长2.6倍；商品房销售额1.16亿元，增长3.8倍。 </w:t>
      </w:r>
      <w:r>
        <w:rPr>
          <w:rFonts w:ascii="宋体" w:hAnsi="宋体" w:eastAsia="宋体" w:cs="宋体"/>
          <w:color w:val="000000"/>
          <w:sz w:val="24"/>
          <w:szCs w:val="24"/>
        </w:rPr>
        <w:br w:type="textWrapping"/>
      </w:r>
      <w:r>
        <w:rPr>
          <w:rFonts w:ascii="宋体" w:hAnsi="宋体" w:eastAsia="宋体" w:cs="宋体"/>
          <w:color w:val="000000"/>
          <w:sz w:val="24"/>
          <w:szCs w:val="24"/>
        </w:rPr>
        <w:t>    </w:t>
      </w:r>
      <w:r>
        <w:rPr>
          <w:rStyle w:val="5"/>
          <w:rFonts w:ascii="宋体" w:hAnsi="宋体" w:eastAsia="宋体" w:cs="宋体"/>
          <w:color w:val="000000"/>
          <w:sz w:val="24"/>
          <w:szCs w:val="24"/>
        </w:rPr>
        <w:t>六、 国内贸易</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全年全州社会消费品零售总额34.19亿元，比上年增长5.8%。按规模分，限额以上企业（单位）零售额5.94亿元，下降5.0%；限额以下企业（单位）零售额28.25亿元，增长8.4%。按经营地分，城镇消费品零售额22.32亿元，增长1.7%；乡村消费品零售额11.87亿元，增长13.3%。按行业分，批发业消费品零售额7.48亿元，增长7.9%；零售业22.40亿元，增长4.9%；住宿业0.26亿元，下降16.9%；餐饮业4.05亿元，增长8.9%。 </w:t>
      </w:r>
    </w:p>
    <w:p>
      <w:pPr>
        <w:numPr>
          <w:numId w:val="0"/>
        </w:numPr>
        <w:ind w:leftChars="0"/>
      </w:pPr>
      <w:r>
        <w:drawing>
          <wp:inline distT="0" distB="0" distL="114300" distR="114300">
            <wp:extent cx="5269865" cy="2221230"/>
            <wp:effectExtent l="0" t="0" r="698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5269865" cy="2221230"/>
                    </a:xfrm>
                    <a:prstGeom prst="rect">
                      <a:avLst/>
                    </a:prstGeom>
                    <a:noFill/>
                    <a:ln>
                      <a:noFill/>
                    </a:ln>
                  </pic:spPr>
                </pic:pic>
              </a:graphicData>
            </a:graphic>
          </wp:inline>
        </w:drawing>
      </w:r>
    </w:p>
    <w:p>
      <w:pPr>
        <w:numPr>
          <w:ilvl w:val="0"/>
          <w:numId w:val="2"/>
        </w:numPr>
        <w:ind w:leftChars="0"/>
        <w:rPr>
          <w:rFonts w:ascii="宋体" w:hAnsi="宋体" w:eastAsia="宋体" w:cs="宋体"/>
          <w:color w:val="000000"/>
          <w:sz w:val="24"/>
          <w:szCs w:val="24"/>
        </w:rPr>
      </w:pPr>
      <w:r>
        <w:rPr>
          <w:rStyle w:val="5"/>
          <w:rFonts w:ascii="宋体" w:hAnsi="宋体" w:eastAsia="宋体" w:cs="宋体"/>
          <w:color w:val="000000"/>
          <w:sz w:val="24"/>
          <w:szCs w:val="24"/>
        </w:rPr>
        <w:t>财政和金融</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地方一般公共预算收入10.17亿元，比上年下降2.7%。其中，税收收入6.23亿元，下降2.0%；非税收入3.94亿元，下降3.8%。公共财政预算支出116.51亿元，增长8.5%。其中：一般公共服务支出9.30亿元，下降5.9%；公共安全支出4.35亿元，增长13.0%；社会保障与就业支出16.37亿元，增长2.9%；教育支出17.87亿元，增长2.0%；科学技术0.26亿元，下降12.8%；卫生健康10.35亿元，增长17.4%；节能环保4.20亿元，增长5.3%；城乡社区8.52亿元，增长138.3%。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年末全州金融机构各项存款余额190.33亿元，比年初减少14.14亿元，下降6.9%。其中，住户存款余额97.36亿元，比年初增加3.32亿元，增长3.5%；非金融企业存款余额17.08亿元，减少3.07亿元，下降15.3%；财政性存款余额19.97亿元，增加5.08亿元，增长34.1%；机关团体存款余额55.92亿元，减少19.46亿元，下降25.8%。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金融机构人民币各项贷款余额120.60亿元，较年初增加7.74亿元，增长6.9%。住户贷款余额48.41亿元，增加 7.52亿元，增长18.4%；非金融企业及机关团体贷款余额72.19亿元，增加0.22亿元，增长0.3%。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保险公司原保险保费收入4.18亿元，比上年增长16.2%。其中：寿险保费收入1.25亿元，增长5.6%；财产险保费收入1.83亿元，增长21.0%；健康险保费收入0.95亿元，增长23.4%；意外险保费收入0.15亿元，增长15.0%。全年保险赔付额1.33亿元，下降8.31 %。其中：寿险赔付额0.18亿元，下降56.4%；财产险赔付额0.65亿元,增长2.6%；健康险赔付额0.47亿元,增长37.6%；意外险赔付额0.03亿元,下降54.0%。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w:t>
      </w:r>
      <w:r>
        <w:rPr>
          <w:rStyle w:val="5"/>
          <w:rFonts w:ascii="宋体" w:hAnsi="宋体" w:eastAsia="宋体" w:cs="宋体"/>
          <w:color w:val="000000"/>
          <w:sz w:val="24"/>
          <w:szCs w:val="24"/>
        </w:rPr>
        <w:t>八、 居民收入消费和社会保障</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全年全州全体居民人均可支配收入19655元，比上年增长9.6%。全州城镇常住居民人均可支配收入33075元，比上年增长7.5%。全州农村常住居民人均可支配收入12502元，比上年增长9.6%。城乡居民人均收入比（以农村居民人均收入为1）为2.65，比上年缩小0.04。</w:t>
      </w:r>
    </w:p>
    <w:p>
      <w:pPr>
        <w:numPr>
          <w:numId w:val="0"/>
        </w:numPr>
      </w:pPr>
      <w:r>
        <w:drawing>
          <wp:inline distT="0" distB="0" distL="114300" distR="114300">
            <wp:extent cx="5000625" cy="46767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5000625" cy="4676775"/>
                    </a:xfrm>
                    <a:prstGeom prst="rect">
                      <a:avLst/>
                    </a:prstGeom>
                    <a:noFill/>
                    <a:ln>
                      <a:noFill/>
                    </a:ln>
                  </pic:spPr>
                </pic:pic>
              </a:graphicData>
            </a:graphic>
          </wp:inline>
        </w:drawing>
      </w:r>
    </w:p>
    <w:p>
      <w:pPr>
        <w:numPr>
          <w:numId w:val="0"/>
        </w:numPr>
      </w:pPr>
      <w:r>
        <w:drawing>
          <wp:inline distT="0" distB="0" distL="114300" distR="114300">
            <wp:extent cx="5267960" cy="2395220"/>
            <wp:effectExtent l="0" t="0" r="889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5267960" cy="2395220"/>
                    </a:xfrm>
                    <a:prstGeom prst="rect">
                      <a:avLst/>
                    </a:prstGeom>
                    <a:noFill/>
                    <a:ln>
                      <a:noFill/>
                    </a:ln>
                  </pic:spPr>
                </pic:pic>
              </a:graphicData>
            </a:graphic>
          </wp:inline>
        </w:drawing>
      </w:r>
    </w:p>
    <w:p>
      <w:pPr>
        <w:numPr>
          <w:numId w:val="0"/>
        </w:numPr>
        <w:rPr>
          <w:rFonts w:ascii="宋体" w:hAnsi="宋体" w:eastAsia="宋体" w:cs="宋体"/>
          <w:color w:val="000000"/>
          <w:sz w:val="24"/>
          <w:szCs w:val="24"/>
        </w:rPr>
      </w:pPr>
      <w:r>
        <w:rPr>
          <w:rFonts w:ascii="宋体" w:hAnsi="宋体" w:eastAsia="宋体" w:cs="宋体"/>
          <w:color w:val="000000"/>
          <w:sz w:val="24"/>
          <w:szCs w:val="24"/>
        </w:rPr>
        <w:t>全年全州全体居民人均生活消费支出13180元，比上年增长9.8%，恩格尔系数为32.9%。城镇常住居民人均生活消费支出17266元，增长8.1%，恩格尔系数为32.1%。农村常住居民人均生活消费支出11003元，比上年增长10.1%，恩格尔系数为33.7%。</w:t>
      </w:r>
    </w:p>
    <w:p>
      <w:pPr>
        <w:numPr>
          <w:numId w:val="0"/>
        </w:numPr>
      </w:pPr>
      <w:r>
        <w:drawing>
          <wp:inline distT="0" distB="0" distL="114300" distR="114300">
            <wp:extent cx="4714875" cy="58769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4714875" cy="5876925"/>
                    </a:xfrm>
                    <a:prstGeom prst="rect">
                      <a:avLst/>
                    </a:prstGeom>
                    <a:noFill/>
                    <a:ln>
                      <a:noFill/>
                    </a:ln>
                  </pic:spPr>
                </pic:pic>
              </a:graphicData>
            </a:graphic>
          </wp:inline>
        </w:drawing>
      </w:r>
    </w:p>
    <w:p>
      <w:pPr>
        <w:numPr>
          <w:numId w:val="0"/>
        </w:numPr>
      </w:pPr>
      <w:r>
        <w:drawing>
          <wp:inline distT="0" distB="0" distL="114300" distR="114300">
            <wp:extent cx="4733925" cy="179070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4733925" cy="1790700"/>
                    </a:xfrm>
                    <a:prstGeom prst="rect">
                      <a:avLst/>
                    </a:prstGeom>
                    <a:noFill/>
                    <a:ln>
                      <a:noFill/>
                    </a:ln>
                  </pic:spPr>
                </pic:pic>
              </a:graphicData>
            </a:graphic>
          </wp:inline>
        </w:drawing>
      </w:r>
    </w:p>
    <w:p>
      <w:pPr>
        <w:numPr>
          <w:numId w:val="0"/>
        </w:numPr>
      </w:pPr>
      <w:r>
        <w:drawing>
          <wp:inline distT="0" distB="0" distL="114300" distR="114300">
            <wp:extent cx="5273040" cy="2319655"/>
            <wp:effectExtent l="0" t="0" r="381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5273040" cy="2319655"/>
                    </a:xfrm>
                    <a:prstGeom prst="rect">
                      <a:avLst/>
                    </a:prstGeom>
                    <a:noFill/>
                    <a:ln>
                      <a:noFill/>
                    </a:ln>
                  </pic:spPr>
                </pic:pic>
              </a:graphicData>
            </a:graphic>
          </wp:inline>
        </w:drawing>
      </w:r>
    </w:p>
    <w:p>
      <w:pPr>
        <w:numPr>
          <w:numId w:val="0"/>
        </w:numPr>
      </w:pPr>
      <w:r>
        <w:drawing>
          <wp:inline distT="0" distB="0" distL="114300" distR="114300">
            <wp:extent cx="5273040" cy="2404745"/>
            <wp:effectExtent l="0" t="0" r="3810" b="146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5273040" cy="2404745"/>
                    </a:xfrm>
                    <a:prstGeom prst="rect">
                      <a:avLst/>
                    </a:prstGeom>
                    <a:noFill/>
                    <a:ln>
                      <a:noFill/>
                    </a:ln>
                  </pic:spPr>
                </pic:pic>
              </a:graphicData>
            </a:graphic>
          </wp:inline>
        </w:drawing>
      </w:r>
    </w:p>
    <w:p>
      <w:pPr>
        <w:numPr>
          <w:numId w:val="0"/>
        </w:numPr>
      </w:pPr>
      <w:r>
        <w:rPr>
          <w:rFonts w:ascii="宋体" w:hAnsi="宋体" w:eastAsia="宋体" w:cs="宋体"/>
          <w:color w:val="000000"/>
          <w:sz w:val="24"/>
          <w:szCs w:val="24"/>
        </w:rPr>
        <w:t>年末全州养老保险参保人数277261人，比上年末增加8128人。其中，城镇企业职工基本养老保险参保34507人，增加6679人；城乡居民基本养老保险参保219906人，增加700人；机关事业单位养老保险参保22848人，增加749人。全州基本医疗保险参保人数433759人，比上年末增加10355人。其中，城镇职工医疗保险参保41107人，增加3985人；城乡居民医疗保险参保392652人，增加6370人。全州失业保险参保20912人，增加377人；工伤保险参保35399人，增加526人；城镇职工生育保险参保23663人，增加1382人。年末全州享受城市最低生活保障 6812人，享受农村最低生活保障28766人。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年末全州共有养老服务机构4个，社区服务站48个。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w:t>
      </w:r>
      <w:r>
        <w:rPr>
          <w:rStyle w:val="5"/>
          <w:rFonts w:ascii="宋体" w:hAnsi="宋体" w:eastAsia="宋体" w:cs="宋体"/>
          <w:color w:val="000000"/>
          <w:sz w:val="24"/>
          <w:szCs w:val="24"/>
        </w:rPr>
        <w:t>九、 科学技术和教育</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累计开展农牧民科技培训60期，培训4800人次。全州开展科普活动88次，发放科普读物和资料2.6万册。申请专利58项，其中，发明专利5项、实用新型专利41项、外观设计专利12项。授权77项，其中，发明专利1项，实用新型60项，外观设计16项。认定高新技术企业2家，科技型企业16家。海南创新平台2家。引进推广20项实用新品种新技术。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全年全州共有各级各类学校399所（寄宿制中小学94所，在校生59944人），在校学生105029人。其中：小学 53所，在校生44526人；中学26所,在校生31310人；幼儿园316所,在园幼儿22134人；特殊教育学校3所，在校生18人；中等职业学校1所，在校生7041人。全州教职工总数7248人，拥有专任教师6101人。学龄儿童入学率100%，比上年提高0.03个百分点；初中阶段毛入学率109.1%，比上年提高0.2个百分点。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w:t>
      </w:r>
      <w:r>
        <w:rPr>
          <w:rStyle w:val="5"/>
          <w:rFonts w:ascii="宋体" w:hAnsi="宋体" w:eastAsia="宋体" w:cs="宋体"/>
          <w:color w:val="000000"/>
          <w:sz w:val="24"/>
          <w:szCs w:val="24"/>
        </w:rPr>
        <w:t>十、 文化旅游和卫生健康</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年末全州共有艺术专业表演机构1个，图书馆事业机构6个，文物事业机构2个，群众文化事业机构6个。年内开展各类文体活动337场（次），文化三下乡活动达150场（次）。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全年全州接待国内外游客1136万人次，比上年增长21.0%。实现旅游总收入37.8亿元，增长49.2%。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年末全州拥有各级医疗卫生机构73家，其中，州级公立医院2家，县级公立医院9家、疾病预防控制中心6家、卫生监督所6家，妇计中心6家、中心血站1个，血库1个、乡镇卫生院42所；共开设病床3189张，平均每千人拥有病床6.8张。共有卫生技术人员2589人，平均每千人拥有卫生专业技术人员5.5人。全年全州孕产妇、婴儿、5岁以下儿童死亡率分别为32.7/10万、16.2‰、19.3‰。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w:t>
      </w:r>
      <w:r>
        <w:rPr>
          <w:rStyle w:val="5"/>
          <w:rFonts w:ascii="宋体" w:hAnsi="宋体" w:eastAsia="宋体" w:cs="宋体"/>
          <w:color w:val="000000"/>
          <w:sz w:val="24"/>
          <w:szCs w:val="24"/>
        </w:rPr>
        <w:t>十一、资源、环境、水利和应急管理</w:t>
      </w:r>
      <w:r>
        <w:rPr>
          <w:rFonts w:ascii="宋体" w:hAnsi="宋体" w:eastAsia="宋体" w:cs="宋体"/>
          <w:color w:val="000000"/>
          <w:sz w:val="24"/>
          <w:szCs w:val="24"/>
        </w:rPr>
        <w:t xml:space="preserve">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国土资源调查及地质勘查，现已发现的矿种有58种矿藏，已探明的主要矿种有铜、铅、锌、白钨、金、大理石等，铜储量相当可观，占全省保有资源储量的 20%以上。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全年全州完成林业投资5.35亿元，比上年增长72.6%。完成造林面积115.85万亩，增长38.2%；义务植树260万株，下降44.5%；新育苗1005亩，下降16.3%。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全年全州规模以上工业企业综合能源消费量10.45万吨标准煤，比上年增长3.09%。其中，工业生产原煤消费量7.24万吨，下降11.5%；工业生产电力消费量4.23亿千瓦时，增长22.2%。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全年全州总供水量2.5078亿立方米（含共和县非常规水源利用0.0117亿立方米，不含向海西州供水量0.0855 亿立方米）,其中，地表水2.2877亿立方米，地下水0.2084亿立方米，非常规水源利用0.0117亿立方米。用水量2.5078亿立方米,其中，农业用水量2.2942亿立方米（含畜禽用水量0.1732亿立方米），工业用水量0.0386亿立方米（不含水电），生活用水量0.1598亿立方米（含第三产业及建筑业用水量0.04亿立方米），生态环境用水量0.0152亿立方米（含共和县非常规水源利用0.0117亿立方米）。全州重要及一般江河湖泊水功能区水质达标率为100 .0 %，农田灌溉水有效利用系数为0.4733。 </w:t>
      </w:r>
      <w:r>
        <w:rPr>
          <w:rFonts w:ascii="宋体" w:hAnsi="宋体" w:eastAsia="宋体" w:cs="宋体"/>
          <w:color w:val="000000"/>
          <w:sz w:val="24"/>
          <w:szCs w:val="24"/>
        </w:rPr>
        <w:br w:type="textWrapping"/>
      </w:r>
      <w:r>
        <w:rPr>
          <w:rFonts w:ascii="宋体" w:hAnsi="宋体" w:eastAsia="宋体" w:cs="宋体"/>
          <w:color w:val="000000"/>
          <w:sz w:val="24"/>
          <w:szCs w:val="24"/>
        </w:rPr>
        <w:t xml:space="preserve">    全年全州共发生生产经营性事故33起，同比增长22.2%；死亡41人，增长86.4%。其中，道路交通事故26起，比上年增加1起，增长4.0%；死亡35人，比上年增加15人，增长75.0%；工矿商贸事故7起，比上年增加5起，增长2.5倍；死亡6人，比上年增加4人，增长2.0倍。 </w:t>
      </w:r>
      <w:r>
        <w:rPr>
          <w:rFonts w:ascii="宋体" w:hAnsi="宋体" w:eastAsia="宋体" w:cs="宋体"/>
          <w:color w:val="000000"/>
          <w:sz w:val="24"/>
          <w:szCs w:val="24"/>
        </w:rPr>
        <w:br w:type="textWrapping"/>
      </w:r>
      <w:r>
        <w:rPr>
          <w:rFonts w:ascii="宋体" w:hAnsi="宋体" w:eastAsia="宋体" w:cs="宋体"/>
          <w:color w:val="000000"/>
          <w:sz w:val="24"/>
          <w:szCs w:val="24"/>
        </w:rPr>
        <w:br w:type="textWrapping"/>
      </w:r>
      <w:r>
        <w:rPr>
          <w:rFonts w:ascii="宋体" w:hAnsi="宋体" w:eastAsia="宋体" w:cs="宋体"/>
          <w:color w:val="000000"/>
          <w:sz w:val="24"/>
          <w:szCs w:val="24"/>
        </w:rPr>
        <w:br w:type="textWrapping"/>
      </w:r>
      <w:r>
        <w:rPr>
          <w:rFonts w:ascii="宋体" w:hAnsi="宋体" w:eastAsia="宋体" w:cs="宋体"/>
          <w:color w:val="000000"/>
          <w:sz w:val="24"/>
          <w:szCs w:val="24"/>
        </w:rPr>
        <w:br w:type="textWrapping"/>
      </w:r>
      <w:r>
        <w:rPr>
          <w:rStyle w:val="5"/>
          <w:rFonts w:ascii="宋体" w:hAnsi="宋体" w:eastAsia="宋体" w:cs="宋体"/>
          <w:color w:val="000000"/>
          <w:sz w:val="21"/>
          <w:szCs w:val="21"/>
        </w:rPr>
        <w:t>注</w:t>
      </w:r>
      <w:r>
        <w:rPr>
          <w:rFonts w:ascii="宋体" w:hAnsi="宋体" w:eastAsia="宋体" w:cs="宋体"/>
          <w:color w:val="000000"/>
          <w:sz w:val="21"/>
          <w:szCs w:val="21"/>
        </w:rPr>
        <w:t xml:space="preserve">：1、本公报中2019年数据均为初步统计数据，增速按同口径计算。 </w:t>
      </w:r>
      <w:r>
        <w:rPr>
          <w:rFonts w:ascii="宋体" w:hAnsi="宋体" w:eastAsia="宋体" w:cs="宋体"/>
          <w:color w:val="000000"/>
          <w:sz w:val="21"/>
          <w:szCs w:val="21"/>
        </w:rPr>
        <w:br w:type="textWrapping"/>
      </w:r>
      <w:r>
        <w:rPr>
          <w:rFonts w:ascii="宋体" w:hAnsi="宋体" w:eastAsia="宋体" w:cs="宋体"/>
          <w:color w:val="000000"/>
          <w:sz w:val="21"/>
          <w:szCs w:val="21"/>
        </w:rPr>
        <w:t xml:space="preserve">    2、地区生产总值、各产业增加值及人均生产总值按国家统计局2018年修定的《三次产业划分规定》口径统计，绝对数按现价计算，增长速度按可比价格计算。 </w:t>
      </w:r>
      <w:r>
        <w:rPr>
          <w:rFonts w:ascii="宋体" w:hAnsi="宋体" w:eastAsia="宋体" w:cs="宋体"/>
          <w:color w:val="000000"/>
          <w:sz w:val="21"/>
          <w:szCs w:val="21"/>
        </w:rPr>
        <w:br w:type="textWrapping"/>
      </w:r>
      <w:r>
        <w:rPr>
          <w:rFonts w:ascii="宋体" w:hAnsi="宋体" w:eastAsia="宋体" w:cs="宋体"/>
          <w:color w:val="000000"/>
          <w:sz w:val="21"/>
          <w:szCs w:val="21"/>
        </w:rPr>
        <w:t xml:space="preserve">    3、规模以上工业企业统计口径为年主营业务收入2000万元及以上的工业企业。 </w:t>
      </w:r>
      <w:r>
        <w:rPr>
          <w:rFonts w:ascii="宋体" w:hAnsi="宋体" w:eastAsia="宋体" w:cs="宋体"/>
          <w:color w:val="000000"/>
          <w:sz w:val="21"/>
          <w:szCs w:val="21"/>
        </w:rPr>
        <w:br w:type="textWrapping"/>
      </w:r>
      <w:r>
        <w:rPr>
          <w:rFonts w:ascii="宋体" w:hAnsi="宋体" w:eastAsia="宋体" w:cs="宋体"/>
          <w:color w:val="000000"/>
          <w:sz w:val="21"/>
          <w:szCs w:val="21"/>
        </w:rPr>
        <w:t xml:space="preserve">    4、固定资产投资统计口径为计划投资500万元及以上固定资产项目投资及所有房地产开发项目。 </w:t>
      </w:r>
      <w:r>
        <w:rPr>
          <w:rFonts w:ascii="宋体" w:hAnsi="宋体" w:eastAsia="宋体" w:cs="宋体"/>
          <w:color w:val="000000"/>
          <w:sz w:val="21"/>
          <w:szCs w:val="21"/>
        </w:rPr>
        <w:br w:type="textWrapping"/>
      </w:r>
      <w:r>
        <w:rPr>
          <w:rFonts w:ascii="宋体" w:hAnsi="宋体" w:eastAsia="宋体" w:cs="宋体"/>
          <w:color w:val="000000"/>
          <w:sz w:val="21"/>
          <w:szCs w:val="21"/>
        </w:rPr>
        <w:t xml:space="preserve">    </w:t>
      </w:r>
      <w:r>
        <w:rPr>
          <w:rStyle w:val="5"/>
          <w:rFonts w:ascii="宋体" w:hAnsi="宋体" w:eastAsia="宋体" w:cs="宋体"/>
          <w:color w:val="000000"/>
          <w:sz w:val="21"/>
          <w:szCs w:val="21"/>
        </w:rPr>
        <w:t>资料来源：</w:t>
      </w:r>
      <w:r>
        <w:rPr>
          <w:rFonts w:ascii="宋体" w:hAnsi="宋体" w:eastAsia="宋体" w:cs="宋体"/>
          <w:color w:val="000000"/>
          <w:sz w:val="21"/>
          <w:szCs w:val="21"/>
        </w:rPr>
        <w:t>本公报中年末常住人口、出生人口、出生率、死亡率、自然增长率数据为省统计局核定数；财政数据来自州财政局；物价数据来自国家统计局海南州调查队；就业数据、城镇登记失业率、社会保险来自州人力资源和社会保障局；医保数据来自州医疗保障局；公路通车里程、营运车辆保有量数据来自州交通运输局；通讯业务量、固定电话用户数、移动电话用户数来自州移动、联通、电信公司；邮政业务量来自州邮政公司，邮政及快递业务件数来自州邮政管理局；旅游数据和艺术表演团体等数据来自州文体旅游广电局；金融数据来自中国人民银行海南中心支行；保险业数据来自州银监局；教育数据来自州教育局；科技数据来自州科学技术局；专利数据来自州市场监督管理局；低保数据来自州民政局；国土资源数据来自州自然资源局；林业投资等数据来自州林业和草原局；水资源数据来自州水利局；安全事故死亡人数、GDP生产安全事故死亡率、工矿商贸就业人员生产安全事故死亡率和道路交通死亡率来自州应急管理局。其他数据均来自州统计局。 </w:t>
      </w:r>
      <w:bookmarkStart w:id="0" w:name="_GoBack"/>
      <w:bookmarkEnd w:id="0"/>
    </w:p>
    <w:p>
      <w:pPr>
        <w:numPr>
          <w:numId w:val="0"/>
        </w:num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33260"/>
    <w:multiLevelType w:val="singleLevel"/>
    <w:tmpl w:val="41E33260"/>
    <w:lvl w:ilvl="0" w:tentative="0">
      <w:start w:val="2"/>
      <w:numFmt w:val="chineseCounting"/>
      <w:suff w:val="space"/>
      <w:lvlText w:val="%1、"/>
      <w:lvlJc w:val="left"/>
      <w:rPr>
        <w:rFonts w:hint="eastAsia"/>
      </w:rPr>
    </w:lvl>
  </w:abstractNum>
  <w:abstractNum w:abstractNumId="1">
    <w:nsid w:val="700719DF"/>
    <w:multiLevelType w:val="singleLevel"/>
    <w:tmpl w:val="700719DF"/>
    <w:lvl w:ilvl="0" w:tentative="0">
      <w:start w:val="7"/>
      <w:numFmt w:val="chineseCounting"/>
      <w:suff w:val="space"/>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D3C28"/>
    <w:rsid w:val="0DD0038D"/>
    <w:rsid w:val="753D3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2020-09-24T12:42:00Z</dcterms:created>
  <dc:creator>小米</dc:creator>
  <cp:lastModifiedBy>小米</cp:lastModifiedBy>
  <dcterms:modified xsi:type="dcterms:W3CDTF">2020-09-24T12:58:49Z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