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青海省环境状况公报（1998-2019）</w:t>
      </w:r>
    </w:p>
    <w:p>
      <w:r>
        <w:rPr>
          <w:sz w:val="22"/>
        </w:rPr>
        <w:t>英文标题：Bulletin on environmental situation of Qinghai Province (1998-2019)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-2019年青海省环境状况公报。数据来源于青海省生态环境厅，数据集包含22个文件，分别为：青海省1998年环境状况公报，青海省1999年环境状况公报……青海省2019年环境状况公报等。公报内容包含长江干流、黄河干流、澜沧江干流、黑河干流、青海湖流域、湟水流域及柴达木内陆河流域共设61个断面水质监测、全省环境空气质量达标天数比例、城市(镇)环境空气监测因子同比、城市区域声环境质量状况、生态环境质量总体状况以及相关的保障与支撑措施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环境评价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青海省环境状况公报（1998-2019）. 时空三极环境大数据平台, </w:t>
      </w:r>
      <w:r>
        <w:t>2021</w:t>
      </w:r>
      <w:r>
        <w:t>.[</w:t>
      </w:r>
      <w:r>
        <w:t xml:space="preserve">Department of Ecology and Environment of Qinghai Province. Bulletin on environmental situation of Qinghai Province (1998-2019).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