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六大经济走廊土地利用数据（2018）</w:t>
      </w:r>
    </w:p>
    <w:p>
      <w:r>
        <w:rPr>
          <w:sz w:val="22"/>
        </w:rPr>
        <w:t>英文标题：landuse data of economic corridors in Silk Road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涵盖六大经济走廊的土地利用数据，能够反映出六大经济走廊不同土地利用类型的空间分布，主要包含涉及六大经济走廊主要的12种土地类型（灌溉耕地、旱作耕地、耕地/林草地、林地、灌木、草地/地衣/苔藓、稀疏植被、草地、人造地表及相关区域、裸地、水体、永久性积雪喝冰川、缺数据（火灾））。该数据空间分辨率为0.0027度，约为300m，经度范围12.09°E-180°，纬度范围10.99°S-90°N，数据来源自美国国家海洋和大气管理局构建的Global Relief Model，基于“一带一路”国家边界裁剪得到。</w:t>
        <w:br/>
        <w:t>该数据是评估六大经济走廊中的土地规划、自然灾害(包括泥石流、滑坡、山洪等灾害)风险所必需的基础数据之一，应用频率高与前景广泛。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六大经济走廊</w:t>
      </w:r>
      <w:r>
        <w:t xml:space="preserve">, 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3.文件大小：166.31MB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邹强, 美国国家海洋和大气管理局. 六大经济走廊土地利用数据（2018）. 时空三极环境大数据平台, </w:t>
      </w:r>
      <w:r>
        <w:t>2019</w:t>
      </w:r>
      <w:r>
        <w:t>.[</w:t>
      </w:r>
      <w:r>
        <w:t xml:space="preserve">The National Oceanic and Atmospheric Administration of the United States (NOAA), ZOU Qiang. landuse data of economic corridors in Silk Road (2018).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邹强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zouqiang@imde.ac.cn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美国国家海洋和大气管理局</w:t>
        <w:br/>
      </w:r>
      <w:r>
        <w:rPr>
          <w:sz w:val="22"/>
        </w:rPr>
        <w:t xml:space="preserve">单位: </w:t>
      </w:r>
      <w:r>
        <w:rPr>
          <w:sz w:val="22"/>
        </w:rPr>
        <w:t>美国国家海洋和大气管理局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