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北极（AMAP）和(AHDR)区域边界数据</w:t>
      </w:r>
    </w:p>
    <w:p>
      <w:r>
        <w:rPr>
          <w:sz w:val="22"/>
        </w:rPr>
        <w:t>英文标题：Arctic (AMAP) and arctic (AHDR) regional boundary data</w:t>
      </w:r>
    </w:p>
    <w:p>
      <w:r>
        <w:rPr>
          <w:sz w:val="32"/>
        </w:rPr>
        <w:t>1、摘要</w:t>
      </w:r>
    </w:p>
    <w:p>
      <w:pPr>
        <w:ind w:firstLine="432"/>
      </w:pPr>
      <w:r>
        <w:rPr>
          <w:sz w:val="22"/>
        </w:rPr>
        <w:t>北极的两个区域是由北极监测和评估方案工作组和北极人类发展报告确定的。</w:t>
        <w:br/>
        <w:t>AMAP北极的地理覆盖范围从高北极地区一直延伸到加拿大、丹麦王国(格陵兰和法罗群岛)、芬兰、冰岛、挪威、俄罗斯联邦、瑞典和美国的亚北极地区，包括相关海域。阿拉斯加北极包含所有《阿拉伯国家、加拿大北部60°N与魁北克省北部和拉布拉多,格陵兰岛,法罗群岛,和冰岛,北县的挪威、瑞典和芬兰。俄罗斯的局势很难用简单的语言来描述。</w:t>
        <w:br/>
        <w:t>人口学家划定的区域包括:摩尔曼斯克大爆炸区、涅涅茨人、亚马朗涅茨人、泰梅尔和楚科塔自治州、科米共和国的沃库塔市、克拉斯诺亚尔斯基克雷的诺里尔斯克和伊戈尔卡，以及萨哈共和国边界最接近北极圈的地区。</w:t>
      </w:r>
    </w:p>
    <w:p>
      <w:r>
        <w:rPr>
          <w:sz w:val="32"/>
        </w:rPr>
        <w:t>2、关键词</w:t>
      </w:r>
    </w:p>
    <w:p>
      <w:pPr>
        <w:ind w:left="432"/>
      </w:pPr>
      <w:r>
        <w:rPr>
          <w:sz w:val="22"/>
        </w:rPr>
        <w:t>主题关键词：</w:t>
      </w:r>
      <w:r>
        <w:rPr>
          <w:sz w:val="22"/>
        </w:rPr>
        <w:t>区划</w:t>
      </w:r>
      <w:r>
        <w:t>,</w:t>
      </w:r>
      <w:r>
        <w:rPr>
          <w:sz w:val="22"/>
        </w:rPr>
        <w:t>主体功能区划</w:t>
        <w:br/>
      </w:r>
      <w:r>
        <w:rPr>
          <w:sz w:val="22"/>
        </w:rPr>
        <w:t>学科关键词：</w:t>
      </w:r>
      <w:r>
        <w:rPr>
          <w:sz w:val="22"/>
        </w:rPr>
        <w:t>人地关系</w:t>
        <w:br/>
      </w:r>
      <w:r>
        <w:rPr>
          <w:sz w:val="22"/>
        </w:rPr>
        <w:t>地点关键词：</w:t>
      </w:r>
      <w:r>
        <w:rPr>
          <w:sz w:val="22"/>
        </w:rPr>
        <w:t>北极</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3.文件大小：6.21MB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Arctic Monitoring And Assessment Programme. 北极（AMAP）和(AHDR)区域边界数据. 时空三极环境大数据平台, </w:t>
      </w:r>
      <w:r>
        <w:t>2019</w:t>
      </w:r>
      <w:r>
        <w:t>.[</w:t>
      </w:r>
      <w:r>
        <w:t xml:space="preserve">Arctic Monitoring And Assessment Programme. Arctic (AMAP) and arctic (AHDR) regional boundary data.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Arctic Monitoring And Assessment Programme</w:t>
        <w:br/>
      </w:r>
      <w:r>
        <w:rPr>
          <w:sz w:val="22"/>
        </w:rPr>
        <w:t xml:space="preserve">单位: </w:t>
      </w:r>
      <w:r>
        <w:rPr>
          <w:sz w:val="22"/>
        </w:rPr>
        <w:t>none</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