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“一带一路”沿线国家单位GDP CO2减排恢复力数据集（2000-2020）</w:t>
      </w:r>
    </w:p>
    <w:p>
      <w:r>
        <w:rPr>
          <w:sz w:val="22"/>
        </w:rPr>
        <w:t>英文标题：Data set on CO2 emission reduction resilience per unit GDP in countries along the Belt and Road (2000-2020)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“一带一路”沿线国家单位GDP的CO2减排恢复力反映了沿线国家单位GDP的CO2减排恢复力水平，数据值越高，表明沿线国家单位GDP的CO2减排恢复力越强。单位GDP的CO2减排恢复力数据产品制备参考了2000—2020年全球大气研究排放数据库（Emissions Database for Global Atmospheric Research, EDGAR），利用2000-2020年“一带一路”沿线国家单位GDP的CO2排放量的逐年数据，在考虑逐年变化的基础上，基于敏感性和适应性分析，通过综合诊断，制备生成了单位GDP的CO2减排恢复力产品。“一带一路”沿线国家单位GDP的CO2减排恢复力数据集对分析和对比当前各国单位GDP的CO2减排恢复力状况具有重要参考意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气候资源</w:t>
      </w:r>
      <w:r>
        <w:t>,</w:t>
      </w:r>
      <w:r>
        <w:rPr>
          <w:sz w:val="22"/>
        </w:rPr>
        <w:t>温室气体</w:t>
      </w:r>
      <w:r>
        <w:t>,</w:t>
      </w:r>
      <w:r>
        <w:rPr>
          <w:sz w:val="22"/>
        </w:rPr>
        <w:t>CO2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"一带一路”沿线国家</w:t>
        <w:br/>
      </w:r>
      <w:r>
        <w:rPr>
          <w:sz w:val="22"/>
        </w:rPr>
        <w:t>时间关键词：</w:t>
      </w:r>
      <w:r>
        <w:rPr>
          <w:sz w:val="22"/>
        </w:rPr>
        <w:t>近20年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3.文件大小：16.6MB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北：81.87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西：12.09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南：-11.0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徐新良. “一带一路”沿线国家单位GDP CO2减排恢复力数据集（2000-2020）. 时空三极环境大数据平台, DOI:10.11888/HumanNat.tpdc.272285, CSTR:18406.11.HumanNat.tpdc.272285, </w:t>
      </w:r>
      <w:r>
        <w:t>2022</w:t>
      </w:r>
      <w:r>
        <w:t>.[</w:t>
      </w:r>
      <w:r>
        <w:t xml:space="preserve">XU Xinliang. Data set on CO2 emission reduction resilience per unit GDP in countries along the Belt and Road (2000-2020). A Big Earth Data Platform for Three Poles, DOI:10.11888/HumanNat.tpdc.272285, CSTR:18406.11.HumanNat.tpdc.272285,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徐新良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xuxl@lreis.ac.cn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