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黑河流域研究区边界</w:t>
      </w:r>
    </w:p>
    <w:p>
      <w:r>
        <w:rPr>
          <w:sz w:val="22"/>
        </w:rPr>
        <w:t>英文标题：Heihe river basin boundary</w:t>
      </w:r>
    </w:p>
    <w:p>
      <w:r>
        <w:rPr>
          <w:sz w:val="32"/>
        </w:rPr>
        <w:t>1、摘要</w:t>
      </w:r>
    </w:p>
    <w:p>
      <w:pPr>
        <w:ind w:firstLine="432"/>
      </w:pPr>
      <w:r>
        <w:rPr>
          <w:sz w:val="22"/>
        </w:rPr>
        <w:t>一、黑河流域盆地边界，系基于高精度的数字高程模型（DEM），利用GIS水文分析功能分析获得的，并参考了遥感影像、地形图、地面考察和前人的研究成果。黑河流域地表集水区范围约25.5万km2，南起祁连山中段，北部边界是蒙古国境内的戈壁阿尔泰山脉，西起马鬃山山区，东至雅布赖山。与传统的黑河流域范围相比，新的流域增加了巴丹吉林沙漠、拐子湖、马鬃山北部区域以及外蒙古戈壁阿尔泰山南麓区域。</w:t>
        <w:br/>
        <w:br/>
        <w:t>说明：南石河和北石河是由疏勒河冲积扇渗漏形成的河流，与石油河、白杨河和断山口河形成以干海子为尾闾湖的独立水文单元（花海盆地诸水系）。无论是从地表集水条件还是历史水系变迁，该水文单元与黑河流域的关系都大于其与疏勒河的联系，应该视为黑河流域的一部分。考虑到现代水资源利用现状，北石河经过人工改造已经与疏勒河干流直接贯通，是疏勒河向干海子输水的重要通道，已经成为疏勒河事实上的重要支流。在系列水利工程的影响下，石油河和白杨河与疏勒河的地表水力联系也远大于其与讨赖河的联系。</w:t>
        <w:br/>
        <w:br/>
        <w:t>二、黑河流域黄委会修正边界</w:t>
        <w:br/>
        <w:t>黑河流域黄委会修正边界是在“水利部黄河水利委员会”2005年编制的黑河流域边界的基础上，利用高精度的数字高程模型（DEM)，参考遥感影像、1：10万地形图、地面考察等资料获得。流域边界范围约7.6万km2，其中上游祁连山中段边界利用DEM根据GIS水文分析功能，严格按照山脊线提取，下游北部边界根据国际公约按照国界线划分。</w:t>
        <w:br/>
        <w:br/>
        <w:t>三、黑河流域研究区边界</w:t>
        <w:br/>
        <w:t>根据黑河流域盆地边界生成的扩展研究区，主要为了模型数据输入的需求。</w:t>
        <w:br/>
        <w:br/>
        <w:t>以上三个边界是给黑河流域计划项目提供统一的研究区边界，建议使用黑河流域黄委会修正边界为核心研究区边界。</w:t>
      </w:r>
    </w:p>
    <w:p>
      <w:r>
        <w:rPr>
          <w:sz w:val="32"/>
        </w:rPr>
        <w:t>2、关键词</w:t>
      </w:r>
    </w:p>
    <w:p>
      <w:pPr>
        <w:ind w:left="432"/>
      </w:pPr>
      <w:r>
        <w:rPr>
          <w:sz w:val="22"/>
        </w:rPr>
        <w:t>主题关键词：</w:t>
      </w:r>
      <w:r>
        <w:rPr>
          <w:sz w:val="22"/>
        </w:rPr>
        <w:t>区划</w:t>
      </w:r>
      <w:r>
        <w:t>,</w:t>
      </w:r>
      <w:r>
        <w:rPr>
          <w:sz w:val="22"/>
        </w:rPr>
        <w:t>主体功能区划</w:t>
      </w:r>
      <w:r>
        <w:t>,</w:t>
      </w:r>
      <w:r>
        <w:rPr>
          <w:sz w:val="22"/>
        </w:rPr>
        <w:t>自然区划</w:t>
        <w:br/>
      </w:r>
      <w:r>
        <w:rPr>
          <w:sz w:val="22"/>
        </w:rPr>
        <w:t>学科关键词：</w:t>
      </w:r>
      <w:r>
        <w:rPr>
          <w:sz w:val="22"/>
        </w:rPr>
        <w:t>人地关系</w:t>
        <w:br/>
      </w:r>
      <w:r>
        <w:rPr>
          <w:sz w:val="22"/>
        </w:rPr>
        <w:t>地点关键词：</w:t>
      </w:r>
      <w:r>
        <w:rPr>
          <w:sz w:val="22"/>
        </w:rPr>
        <w:t>黑河流域</w:t>
        <w:br/>
      </w:r>
      <w:r>
        <w:rPr>
          <w:sz w:val="22"/>
        </w:rPr>
        <w:t>时间关键词：</w:t>
      </w:r>
      <w:r>
        <w:rPr>
          <w:sz w:val="22"/>
        </w:rPr>
        <w:t>2013</w:t>
      </w:r>
    </w:p>
    <w:p>
      <w:r>
        <w:rPr>
          <w:sz w:val="32"/>
        </w:rPr>
        <w:t>3、数据细节</w:t>
      </w:r>
    </w:p>
    <w:p>
      <w:pPr>
        <w:ind w:left="432"/>
      </w:pPr>
      <w:r>
        <w:rPr>
          <w:sz w:val="22"/>
        </w:rPr>
        <w:t>1.比例尺：None</w:t>
      </w:r>
    </w:p>
    <w:p>
      <w:pPr>
        <w:ind w:left="432"/>
      </w:pPr>
      <w:r>
        <w:rPr>
          <w:sz w:val="22"/>
        </w:rPr>
        <w:t>2.投影：4326</w:t>
      </w:r>
    </w:p>
    <w:p>
      <w:pPr>
        <w:ind w:left="432"/>
      </w:pPr>
      <w:r>
        <w:rPr>
          <w:sz w:val="22"/>
        </w:rPr>
        <w:t>3.文件大小：2.56MB</w:t>
      </w:r>
    </w:p>
    <w:p>
      <w:pPr>
        <w:ind w:left="432"/>
      </w:pPr>
      <w:r>
        <w:rPr>
          <w:sz w:val="22"/>
        </w:rPr>
        <w:t>4.数据格式：shp</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北：43.5</w:t>
            </w:r>
          </w:p>
        </w:tc>
        <w:tc>
          <w:tcPr>
            <w:tcW w:type="dxa" w:w="2880"/>
          </w:tcPr>
          <w:p>
            <w:r>
              <w:t>-</w:t>
            </w:r>
          </w:p>
        </w:tc>
      </w:tr>
      <w:tr>
        <w:tc>
          <w:tcPr>
            <w:tcW w:type="dxa" w:w="2880"/>
          </w:tcPr>
          <w:p>
            <w:r>
              <w:t>西：95.5</w:t>
            </w:r>
          </w:p>
        </w:tc>
        <w:tc>
          <w:tcPr>
            <w:tcW w:type="dxa" w:w="2880"/>
          </w:tcPr>
          <w:p>
            <w:r>
              <w:t>-</w:t>
            </w:r>
          </w:p>
        </w:tc>
        <w:tc>
          <w:tcPr>
            <w:tcW w:type="dxa" w:w="2880"/>
          </w:tcPr>
          <w:p>
            <w:r>
              <w:t>东：104.5</w:t>
            </w:r>
          </w:p>
        </w:tc>
      </w:tr>
      <w:tr>
        <w:tc>
          <w:tcPr>
            <w:tcW w:type="dxa" w:w="2880"/>
          </w:tcPr>
          <w:p>
            <w:r>
              <w:t>-</w:t>
            </w:r>
          </w:p>
        </w:tc>
        <w:tc>
          <w:tcPr>
            <w:tcW w:type="dxa" w:w="2880"/>
          </w:tcPr>
          <w:p>
            <w:r>
              <w:t>南：37.5</w:t>
            </w:r>
          </w:p>
        </w:tc>
        <w:tc>
          <w:tcPr>
            <w:tcW w:type="dxa" w:w="2880"/>
          </w:tcPr>
          <w:p>
            <w:r>
              <w:t>-</w:t>
            </w:r>
          </w:p>
        </w:tc>
      </w:tr>
    </w:tbl>
    <w:p>
      <w:r>
        <w:rPr>
          <w:sz w:val="32"/>
        </w:rPr>
        <w:t>5、时间范围</w:t>
      </w:r>
      <w:r>
        <w:rPr>
          <w:sz w:val="22"/>
        </w:rPr>
        <w:t>2018-11-30 10:50:03+00:00</w:t>
      </w:r>
      <w:r>
        <w:rPr>
          <w:sz w:val="22"/>
        </w:rPr>
        <w:t>--</w:t>
      </w:r>
      <w:r>
        <w:rPr>
          <w:sz w:val="22"/>
        </w:rPr>
        <w:t>2018-11-30 10:50:03+00:00</w:t>
      </w:r>
    </w:p>
    <w:p>
      <w:r>
        <w:rPr>
          <w:sz w:val="32"/>
        </w:rPr>
        <w:t>6、引用方式</w:t>
      </w:r>
    </w:p>
    <w:p>
      <w:pPr>
        <w:ind w:left="432"/>
      </w:pPr>
      <w:r>
        <w:rPr>
          <w:sz w:val="22"/>
        </w:rPr>
        <w:t xml:space="preserve">数据的引用: </w:t>
      </w:r>
    </w:p>
    <w:p>
      <w:pPr>
        <w:ind w:left="432" w:firstLine="432"/>
      </w:pPr>
      <w:r>
        <w:t xml:space="preserve">吴立宗. 黑河流域研究区边界. 时空三极环境大数据平台, DOI:10.3972/heihe.225.2013.db, CSTR:18406.11.heihe.225.2013.db, </w:t>
      </w:r>
      <w:r>
        <w:t>2014</w:t>
      </w:r>
      <w:r>
        <w:t>.[</w:t>
      </w:r>
      <w:r>
        <w:t xml:space="preserve">WU Lizong. Heihe river basin boundary. A Big Earth Data Platform for Three Poles, DOI:10.3972/heihe.225.2013.db, CSTR:18406.11.heihe.225.2013.db, </w:t>
      </w:r>
      <w:r>
        <w:t>2014</w:t>
      </w:r>
      <w:r>
        <w:rPr>
          <w:sz w:val="22"/>
        </w:rPr>
        <w:t>]</w:t>
      </w:r>
    </w:p>
    <w:p>
      <w:pPr>
        <w:ind w:left="432"/>
      </w:pPr>
      <w:r>
        <w:rPr>
          <w:sz w:val="22"/>
        </w:rPr>
        <w:t xml:space="preserve">文章的引用: </w:t>
      </w:r>
    </w:p>
    <w:p>
      <w:pPr>
        <w:ind w:left="864"/>
      </w:pPr>
    </w:p>
    <w:p>
      <w:r>
        <w:rPr>
          <w:sz w:val="32"/>
        </w:rPr>
        <w:t>7、资助项目信息</w:t>
      </w:r>
    </w:p>
    <w:p>
      <w:pPr>
        <w:ind w:left="432"/>
      </w:pPr>
      <w:r>
        <w:rPr>
          <w:sz w:val="22"/>
        </w:rPr>
        <w:t xml:space="preserve">面向黑河流域生态-水文过程集成研究的数据整理与服务 </w:t>
        <w:br/>
      </w:r>
    </w:p>
    <w:p>
      <w:r>
        <w:rPr>
          <w:sz w:val="32"/>
        </w:rPr>
        <w:t>8、数据资源提供者</w:t>
      </w:r>
    </w:p>
    <w:p>
      <w:pPr>
        <w:ind w:left="432"/>
      </w:pPr>
      <w:r>
        <w:rPr>
          <w:sz w:val="22"/>
        </w:rPr>
        <w:t xml:space="preserve">姓名: </w:t>
      </w:r>
      <w:r>
        <w:rPr>
          <w:sz w:val="22"/>
        </w:rPr>
        <w:t>吴立宗</w:t>
        <w:br/>
      </w:r>
      <w:r>
        <w:rPr>
          <w:sz w:val="22"/>
        </w:rPr>
        <w:t xml:space="preserve">单位: </w:t>
      </w:r>
      <w:r>
        <w:rPr>
          <w:sz w:val="22"/>
        </w:rPr>
        <w:t>中国科学院寒区旱区环境与工程研究所</w:t>
        <w:br/>
      </w:r>
      <w:r>
        <w:rPr>
          <w:sz w:val="22"/>
        </w:rPr>
        <w:t xml:space="preserve">电子邮件: </w:t>
      </w:r>
      <w:r>
        <w:rPr>
          <w:sz w:val="22"/>
        </w:rPr>
        <w:t>wulizong@lzb.ac.cn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