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黑河流域NDIV数据集（2000-2010）</w:t>
      </w:r>
    </w:p>
    <w:p>
      <w:r>
        <w:rPr>
          <w:sz w:val="22"/>
        </w:rPr>
        <w:t>英文标题：The NDVI data in the Heihe River Basin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植被指数（NDVI）能够应用在检测植被生长状态、植被覆盖度和消除部分辐射误差等</w:t>
        <w:br/>
        <w:t>数据集为经过图形处理的黑河流域2000-2010年，MODIS 500米16天合成的NDVI产品数据，无值区为-32768。坐标系统为经纬度投影，空间范围为：96.5E–102.5E, 37.5N–43N。数据格式为GEOTIFF。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2011-01-08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黑河流域NDIV数据集（2000-2010）. 时空三极环境大数据平台, </w:t>
      </w:r>
      <w:r>
        <w:t>2016</w:t>
      </w:r>
      <w:r>
        <w:t>.[</w:t>
      </w:r>
      <w:r>
        <w:t xml:space="preserve">The NDVI data in the Heihe River Basin (2000-2010).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