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丝绸之路沿线地区资源环境承载指数数据集（2015）</w:t>
      </w:r>
    </w:p>
    <w:p>
      <w:r>
        <w:rPr>
          <w:sz w:val="22"/>
        </w:rPr>
        <w:t>英文标题：Data set of resource and environment carrying index along the Silk Road (2015)</w:t>
      </w:r>
    </w:p>
    <w:p>
      <w:r>
        <w:rPr>
          <w:sz w:val="32"/>
        </w:rPr>
        <w:t>1、摘要</w:t>
      </w:r>
    </w:p>
    <w:p>
      <w:pPr>
        <w:ind w:firstLine="432"/>
      </w:pPr>
      <w:r>
        <w:rPr>
          <w:sz w:val="22"/>
        </w:rPr>
        <w:t>资源环境承载力定量评价与综合计量是资源环境承载力研究由分类走向综合的关键技术环节。在人居环境适宜性、资源承载限制性、社会经济适应性评价的基础上，依据“适宜性分区—限制性分类—适应性分等—警示性分级”的资源环境承载力由分类到综合的研究思路与技术路线，构建了具有平衡态意义的资源环境承载力综合评价的三维四面体模型。以10公里格网为基础，开展了资源环境承载能力综合研究，定量模拟了丝绸之路沿线地区资源环境承载指数，以1为平衡态意义，为丝绸之路沿线地区资源环境承载力综合评价提供支撑。</w:t>
      </w:r>
    </w:p>
    <w:p>
      <w:r>
        <w:rPr>
          <w:sz w:val="32"/>
        </w:rPr>
        <w:t>2、关键词</w:t>
      </w:r>
    </w:p>
    <w:p>
      <w:pPr>
        <w:ind w:left="432"/>
      </w:pPr>
      <w:r>
        <w:rPr>
          <w:sz w:val="22"/>
        </w:rPr>
        <w:t>主题关键词：</w:t>
      </w:r>
      <w:r>
        <w:rPr>
          <w:sz w:val="22"/>
        </w:rPr>
        <w:t>人口</w:t>
      </w:r>
      <w:r>
        <w:t>,</w:t>
      </w:r>
      <w:r>
        <w:rPr>
          <w:sz w:val="22"/>
        </w:rPr>
        <w:t>土地资源</w:t>
      </w:r>
      <w:r>
        <w:t>,</w:t>
      </w:r>
      <w:r>
        <w:rPr>
          <w:sz w:val="22"/>
        </w:rPr>
        <w:t>水资源</w:t>
        <w:br/>
      </w:r>
      <w:r>
        <w:rPr>
          <w:sz w:val="22"/>
        </w:rPr>
        <w:t>学科关键词：</w:t>
      </w:r>
      <w:r>
        <w:rPr>
          <w:sz w:val="22"/>
        </w:rPr>
        <w:t>人地关系</w:t>
        <w:br/>
      </w:r>
      <w:r>
        <w:rPr>
          <w:sz w:val="22"/>
        </w:rPr>
        <w:t>地点关键词：</w:t>
      </w:r>
      <w:r>
        <w:rPr>
          <w:sz w:val="22"/>
        </w:rPr>
        <w:t>一带一路</w:t>
        <w:br/>
      </w:r>
      <w:r>
        <w:rPr>
          <w:sz w:val="22"/>
        </w:rPr>
        <w:t>时间关键词：</w:t>
      </w:r>
      <w:r>
        <w:rPr>
          <w:sz w:val="22"/>
        </w:rPr>
        <w:t>2015</w:t>
      </w:r>
    </w:p>
    <w:p>
      <w:r>
        <w:rPr>
          <w:sz w:val="32"/>
        </w:rPr>
        <w:t>3、数据细节</w:t>
      </w:r>
    </w:p>
    <w:p>
      <w:pPr>
        <w:ind w:left="432"/>
      </w:pPr>
      <w:r>
        <w:rPr>
          <w:sz w:val="22"/>
        </w:rPr>
        <w:t>1.比例尺：None</w:t>
      </w:r>
    </w:p>
    <w:p>
      <w:pPr>
        <w:ind w:left="432"/>
      </w:pPr>
      <w:r>
        <w:rPr>
          <w:sz w:val="22"/>
        </w:rPr>
        <w:t>2.投影：</w:t>
      </w:r>
    </w:p>
    <w:p>
      <w:pPr>
        <w:ind w:left="432"/>
      </w:pPr>
      <w:r>
        <w:rPr>
          <w:sz w:val="22"/>
        </w:rPr>
        <w:t>3.文件大小：26.9MB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北：81.833700000371</w:t>
            </w:r>
          </w:p>
        </w:tc>
        <w:tc>
          <w:tcPr>
            <w:tcW w:type="dxa" w:w="2880"/>
          </w:tcPr>
          <w:p>
            <w:r>
              <w:t>-</w:t>
            </w:r>
          </w:p>
        </w:tc>
      </w:tr>
      <w:tr>
        <w:tc>
          <w:tcPr>
            <w:tcW w:type="dxa" w:w="2880"/>
          </w:tcPr>
          <w:p>
            <w:r>
              <w:t>西：-179.999988540844</w:t>
            </w:r>
          </w:p>
        </w:tc>
        <w:tc>
          <w:tcPr>
            <w:tcW w:type="dxa" w:w="2880"/>
          </w:tcPr>
          <w:p>
            <w:r>
              <w:t>-</w:t>
            </w:r>
          </w:p>
        </w:tc>
        <w:tc>
          <w:tcPr>
            <w:tcW w:type="dxa" w:w="2880"/>
          </w:tcPr>
          <w:p>
            <w:r>
              <w:t>东：180.0</w:t>
            </w:r>
          </w:p>
        </w:tc>
      </w:tr>
      <w:tr>
        <w:tc>
          <w:tcPr>
            <w:tcW w:type="dxa" w:w="2880"/>
          </w:tcPr>
          <w:p>
            <w:r>
              <w:t>-</w:t>
            </w:r>
          </w:p>
        </w:tc>
        <w:tc>
          <w:tcPr>
            <w:tcW w:type="dxa" w:w="2880"/>
          </w:tcPr>
          <w:p>
            <w:r>
              <w:t>南：-10.916299999629</w:t>
            </w:r>
          </w:p>
        </w:tc>
        <w:tc>
          <w:tcPr>
            <w:tcW w:type="dxa" w:w="2880"/>
          </w:tcPr>
          <w:p>
            <w:r>
              <w:t>-</w:t>
            </w:r>
          </w:p>
        </w:tc>
      </w:tr>
    </w:tbl>
    <w:p>
      <w:r>
        <w:rPr>
          <w:sz w:val="32"/>
        </w:rPr>
        <w:t>5、时间范围</w:t>
      </w:r>
      <w:r>
        <w:rPr>
          <w:sz w:val="22"/>
        </w:rPr>
        <w:t>2014-12-31 16:00:00+00:00</w:t>
      </w:r>
      <w:r>
        <w:rPr>
          <w:sz w:val="22"/>
        </w:rPr>
        <w:t>--</w:t>
      </w:r>
      <w:r>
        <w:rPr>
          <w:sz w:val="22"/>
        </w:rPr>
        <w:t>2015-12-31 03:59:59+00:00</w:t>
      </w:r>
    </w:p>
    <w:p>
      <w:r>
        <w:rPr>
          <w:sz w:val="32"/>
        </w:rPr>
        <w:t>6、引用方式</w:t>
      </w:r>
    </w:p>
    <w:p>
      <w:pPr>
        <w:ind w:left="432"/>
      </w:pPr>
      <w:r>
        <w:rPr>
          <w:sz w:val="22"/>
        </w:rPr>
        <w:t xml:space="preserve">数据的引用: </w:t>
      </w:r>
    </w:p>
    <w:p>
      <w:pPr>
        <w:ind w:left="432" w:firstLine="432"/>
      </w:pPr>
      <w:r>
        <w:t xml:space="preserve">封志明, 游珍. 丝绸之路沿线地区资源环境承载指数数据集（2015）. 时空三极环境大数据平台, DOI:10.11888/HumanNat.tpdc.271893, CSTR:18406.11.HumanNat.tpdc.271893, </w:t>
      </w:r>
      <w:r>
        <w:t>2021</w:t>
      </w:r>
      <w:r>
        <w:t>.[</w:t>
      </w:r>
      <w:r>
        <w:t xml:space="preserve">YOU  Zhen. Data set of resource and environment carrying index along the Silk Road (2015). A Big Earth Data Platform for Three Poles, DOI:10.11888/HumanNat.tpdc.271893, CSTR:18406.11.HumanNat.tpdc.271893,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封志明</w:t>
        <w:br/>
      </w:r>
      <w:r>
        <w:rPr>
          <w:sz w:val="22"/>
        </w:rPr>
        <w:t xml:space="preserve">单位: </w:t>
      </w:r>
      <w:r>
        <w:rPr>
          <w:sz w:val="22"/>
        </w:rPr>
        <w:t>中国科学院地理科学与资源研究所</w:t>
        <w:br/>
      </w:r>
      <w:r>
        <w:rPr>
          <w:sz w:val="22"/>
        </w:rPr>
        <w:t xml:space="preserve">电子邮件: </w:t>
      </w:r>
      <w:r>
        <w:rPr>
          <w:sz w:val="22"/>
        </w:rPr>
        <w:t>fengzm@igsnrr.ac.cn</w:t>
        <w:br/>
        <w:br/>
      </w:r>
      <w:r>
        <w:rPr>
          <w:sz w:val="22"/>
        </w:rPr>
        <w:t xml:space="preserve">姓名: </w:t>
      </w:r>
      <w:r>
        <w:rPr>
          <w:sz w:val="22"/>
        </w:rPr>
        <w:t>游珍</w:t>
        <w:br/>
      </w:r>
      <w:r>
        <w:rPr>
          <w:sz w:val="22"/>
        </w:rPr>
        <w:t xml:space="preserve">单位: </w:t>
      </w:r>
      <w:r>
        <w:rPr>
          <w:sz w:val="22"/>
        </w:rPr>
        <w:t>中国科学院地理科学与资源研究所</w:t>
        <w:br/>
      </w:r>
      <w:r>
        <w:rPr>
          <w:sz w:val="22"/>
        </w:rPr>
        <w:t xml:space="preserve">电子邮件: </w:t>
      </w:r>
      <w:r>
        <w:rPr>
          <w:sz w:val="22"/>
        </w:rPr>
        <w:t>youz@igsnrr.ac.cn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