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泛第三极34个关键节点降水量距平百分率气象干旱指数数据集（2014-2015）</w:t>
      </w:r>
    </w:p>
    <w:p>
      <w:r>
        <w:rPr>
          <w:sz w:val="22"/>
        </w:rPr>
        <w:t>英文标题：Meteorological drought index data set of 34 key nodes of Pan third pole precipitation anomaly percentage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全球变暖的背景下，干旱发生的频率和强度呈增加趋势，由于干旱灾害所引发的水资源匮乏、粮食危机、生态恶化（如荒漠化）等，直接威胁到国家的粮食安全和社会经济发展，干旱灾害风险评估及应急管理的技术水平亟待提高。“一带一路”沿线区域生态环境脆弱、农业耕地集中、干旱灾害频繁，利用遥感卫星监测大区域的干旱水平及其时空变化，对于科学掌握“一带一路”地区的干旱格局、区域分异特征，及其对农业耕地的影响具有重要的科学和现实意义。降水距平百分率反映某一时段降水量与同期平均状态的偏离程度，以百分率表示。</w:t>
        <w:br/>
        <w:t>该数据集以GPM IMERG Final Run(GPM)日值降雨资料为基础，计算对应地区的降水量，采用降水距平百分率等级评价指标，分析了不同等级干旱的分布特征，空间分辨率200m。</w:t>
        <w:br/>
        <w:t>数据的区域为泛第三极34个关键节点（阿巴斯、阿斯塔纳、科伦坡、瓜达尔、孟巴、德黑兰、万象等地区）。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2014-01-04 16:00:00+00:00</w:t>
      </w:r>
      <w:r>
        <w:rPr>
          <w:sz w:val="22"/>
        </w:rPr>
        <w:t>--</w:t>
      </w:r>
      <w:r>
        <w:rPr>
          <w:sz w:val="22"/>
        </w:rPr>
        <w:t>2016-01-03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泛第三极34个关键节点降水量距平百分率气象干旱指数数据集（2014-2015）. 时空三极环境大数据平台, DOI:10.11888/Meteoro.tpdc.271005, CSTR:18406.11.Meteoro.tpdc.271005, </w:t>
      </w:r>
      <w:r>
        <w:t>2020</w:t>
      </w:r>
      <w:r>
        <w:t>.[</w:t>
      </w:r>
      <w:r>
        <w:t xml:space="preserve">WU  Hua. Meteorological drought index data set of 34 key nodes of Pan third pole precipitation anomaly percentage (2014-2015). A Big Earth Data Platform for Three Poles, DOI:10.11888/Meteoro.tpdc.271005, CSTR:18406.11.Meteoro.tpdc.271005,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Q., Zou, X., &amp; Xiao, F. (2006). Classification of meteorological droughts. Standards Press of China Tech. Rep. GB/T20481-2006, 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