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中亚及全球陆地干旱情景数据（2020-2099）</w:t>
      </w:r>
    </w:p>
    <w:p>
      <w:r>
        <w:rPr>
          <w:sz w:val="22"/>
        </w:rPr>
        <w:t>英文标题：Central Asia and global land drought scenario data (2020-2099)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本数据为RCP4.5情景下的月干燥指数数据集（Aridity Index, AI）。AI数据为降水与潜在蒸散发的比值。本数据由14个模式平均计算得到。这14个模式分别为：CanESM2；CCSM4；CNRM-CM5；CSIRO-Mk3-6-0；GISS-E2-R；HadGEM2-CC；HadGEM2-ES；inmcm4；IPSL-CM5A-LR；MIROC5；MIROC-ESM-CHEM；MIROC-ESM；MPI-ESM-LR；MRI-CGCM3。空间分辨率为全球2度*2度，时间分辨率为2020年1月-2099年12月。该数据集即可用于中亚大湖区未来干湿变化情景分析，也可用于全球其他区域在未来情景下的干湿过去和格局的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2020年1月到2099年12月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西：-178.5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南：-88.5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2020-01-08 16:00:00+00:00</w:t>
      </w:r>
      <w:r>
        <w:rPr>
          <w:sz w:val="22"/>
        </w:rPr>
        <w:t>--</w:t>
      </w:r>
      <w:r>
        <w:rPr>
          <w:sz w:val="22"/>
        </w:rPr>
        <w:t>2020-01-08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华丽娟. 中亚及全球陆地干旱情景数据（2020-2099）. 时空三极环境大数据平台, </w:t>
      </w:r>
      <w:r>
        <w:t>2019</w:t>
      </w:r>
      <w:r>
        <w:t>.[</w:t>
      </w:r>
      <w:r>
        <w:t xml:space="preserve">HUA Lijuan. Central Asia and global land drought scenario data (2020-2099).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T.B., Dai, A.G. (2015). The magnitude and causes of global drought changes in the twenty-first century under a low-moderate emissions scenario. Journal of Climate, 28, 4490-4512.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华丽娟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hualj@ucas.ac.cn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