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全球294万条河段的天然径流模拟数据（GRADES）</w:t>
      </w:r>
    </w:p>
    <w:p>
      <w:r>
        <w:rPr>
          <w:sz w:val="22"/>
        </w:rPr>
        <w:t>英文标题：Global Reconstruction of Naturalized River Discharge at 2.94 Million River Reaches (GRADES)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全球294万条河段的天然径流量模拟数据产品，单位m3/s。本数据是基于VIC水文过程模式与RAPID矢量河网汇流模型模拟得到。其中陆面水文过程模式空间分辨率为0.25°，矢量汇流模式中的河网数据基于90-m MERIT Hydro水文矫正地形数据产品提取。产流部分经过基于机器学习得到的径流特征值进行参数率定，并基于多分位数径流特征值进行了格点尺度的产流偏差矫正，经全球1.4万个径流观测站点验证，数据产品具有较优的验证精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径流</w:t>
      </w:r>
      <w:r>
        <w:t>,</w:t>
      </w:r>
      <w:r>
        <w:rPr>
          <w:sz w:val="22"/>
        </w:rPr>
        <w:t>地表水总量</w:t>
      </w:r>
      <w:r>
        <w:t>,</w:t>
      </w:r>
      <w:r>
        <w:rPr>
          <w:sz w:val="22"/>
        </w:rPr>
        <w:t>产流量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河水</w:t>
      </w:r>
      <w:r>
        <w:t>,</w:t>
      </w:r>
      <w:r>
        <w:rPr>
          <w:sz w:val="22"/>
        </w:rPr>
        <w:t>水文特征值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河流/溪流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水文模型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1979-2013 日尺度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3.文件大小：144588.0MB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林佩蓉, 潘铭, 杨媛. 全球294万条河段的天然径流模拟数据（GRADES）. 时空三极环境大数据平台, DOI:10.11888/Terre.tpdc.272898, CSTR:18406.11.Terre.tpdc.272898, </w:t>
      </w:r>
      <w:r>
        <w:t>2022</w:t>
      </w:r>
      <w:r>
        <w:t>.[</w:t>
      </w:r>
      <w:r>
        <w:t xml:space="preserve">LIN   Peirong , PAN   Ming  , YANG   Yuan . Global Reconstruction of Naturalized River Discharge at 2.94 Million River Reaches (GRADES). A Big Earth Data Platform for Three Poles, DOI:10.11888/Terre.tpdc.272898, CSTR:18406.11.Terre.tpdc.272898,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Lin, P., Pan, M., Beck, H.E., Yang, Y., Yamazaki, D., Frasson, R., David, C.H., Durand, M., Pavelsky, T., Allen, G., Gleason, C., &amp; Wood, E.F. (2019). Global reconstruction of naturalized river flows at 2.94 million reaches. Water Resources Research, 55 (8), 6499-6516.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林佩蓉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peironglinlin@pku.edu.cn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潘铭</w:t>
        <w:br/>
      </w:r>
      <w:r>
        <w:rPr>
          <w:sz w:val="22"/>
        </w:rPr>
        <w:t xml:space="preserve">单位: </w:t>
      </w:r>
      <w:r>
        <w:rPr>
          <w:sz w:val="22"/>
        </w:rPr>
        <w:t>UCSD</w:t>
        <w:br/>
      </w:r>
      <w:r>
        <w:rPr>
          <w:sz w:val="22"/>
        </w:rPr>
        <w:t xml:space="preserve">电子邮件: </w:t>
      </w:r>
      <w:r>
        <w:rPr>
          <w:sz w:val="22"/>
        </w:rPr>
        <w:t>m3pan@ucsd.edu</w:t>
        <w:br/>
        <w:br/>
      </w:r>
      <w:r>
        <w:rPr>
          <w:sz w:val="22"/>
        </w:rPr>
        <w:t xml:space="preserve">姓名: </w:t>
      </w:r>
      <w:r>
        <w:rPr>
          <w:sz w:val="22"/>
        </w:rPr>
        <w:t>杨媛</w:t>
        <w:br/>
      </w:r>
      <w:r>
        <w:rPr>
          <w:sz w:val="22"/>
        </w:rPr>
        <w:t xml:space="preserve">单位: </w:t>
      </w:r>
      <w:r>
        <w:rPr>
          <w:sz w:val="22"/>
        </w:rPr>
        <w:t>加利福尼亚大学圣迭戈分校（UCSD)</w:t>
        <w:br/>
      </w:r>
      <w:r>
        <w:rPr>
          <w:sz w:val="22"/>
        </w:rPr>
        <w:t xml:space="preserve">电子邮件: </w:t>
      </w:r>
      <w:r>
        <w:rPr>
          <w:sz w:val="22"/>
        </w:rPr>
        <w:t>yuanyangthu@gmail.com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