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青海省农村基本情况（2014-2018）</w:t>
      </w:r>
    </w:p>
    <w:p>
      <w:r>
        <w:rPr>
          <w:sz w:val="22"/>
        </w:rPr>
        <w:t>英文标题：Basic situation of rural areas in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基本情况，包括乡村户数、乡村人口数等信息，统计数据覆盖时间范围为2014年-2018年。数据按西宁市、海东地区、海北州、黄南州、海南州、果洛州、玉树州、海西州，共计8个州市，43个县区项目划分。数据集包含了5个数据表，分别为：农村基本情况（2014年） 农村基本情况（2015年） 农村基本情况（2016年） 农村基本情况（2017年） 农村基本情况（2018年）.各个数据表结构相似。例如农村基本情况（2014年）数据表共有2个字段：</w:t>
        <w:br/>
        <w:t>字段1：乡村户数</w:t>
        <w:br/>
        <w:t>字段2：乡村人口数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农村基本情况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青海省农村基本情况（2014-2018）. 时空三极环境大数据平台, </w:t>
      </w:r>
      <w:r>
        <w:t>2021</w:t>
      </w:r>
      <w:r>
        <w:t>.[</w:t>
      </w:r>
      <w:r>
        <w:t xml:space="preserve">AGRICULTURAL AND RURAL    Department of Qinghai Province. Basic situation of rural areas in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