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青海省达日县天然草地等级面积统计数据（1988，2012）</w:t>
      </w:r>
    </w:p>
    <w:p>
      <w:r>
        <w:rPr>
          <w:sz w:val="22"/>
        </w:rPr>
        <w:t>英文标题：Statistical data of natural grassland grade area in dari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该数据集记录了1988年，2012年度青海省达日县天然草地等级面积统计数据，数据按照天然草地等级代号分类统计，草地等的划分以草地型为基本单元，划分为优、良、中、低、劣五个等别。各等的划分标准如下：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达日县天然草地等级面积统计数据（2012），达日县天然草地等级统计数据 （1988）。数据表结构相似。例如达日县天然草地等级面积统计数据（2012）表共有9个字段：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达日县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青海省达日县天然草地等级面积统计数据（1988，2012）.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dari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