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黑河流域中游社会经济发展情景模拟结果（2012-2030）</w:t>
      </w:r>
    </w:p>
    <w:p>
      <w:r>
        <w:rPr>
          <w:sz w:val="22"/>
        </w:rPr>
        <w:t>英文标题：Scenario simulation results of socio-economic development in the middle reaches of the Heihe River Basin（2012-2030）</w:t>
      </w:r>
    </w:p>
    <w:p>
      <w:r>
        <w:rPr>
          <w:sz w:val="32"/>
        </w:rPr>
        <w:t>1、摘要</w:t>
      </w:r>
    </w:p>
    <w:p>
      <w:pPr>
        <w:ind w:firstLine="432"/>
      </w:pPr>
      <w:r>
        <w:rPr>
          <w:sz w:val="22"/>
        </w:rPr>
        <w:t>采用社会经济动态可计算一般均衡模型，以2012年为基准年，模拟未来2013-2030年的黑河流域中游张掖市48个产业部门的GDP变化情况，并进行基准增长、低速增长和高速增长不同情境下的预测模拟，能够较好地描述张掖市各产业部门的经济变化以及产业结构变动情况。</w:t>
        <w:br/>
        <w:t>数据来源于黑河流域投入产出表、张掖市统计年鉴和张掖市国民经济与社会发展统计公报。</w:t>
        <w:br/>
        <w:t>因数据源为公开发布的省级和市级统计年鉴，尚未对数据进行交叉验证，有待在数据分析与应用过程中进行数据的一致性检验和精度验证。</w:t>
        <w:br/>
        <w:t>该数据集是反映黑河流域中游张掖市经济发展的宏观模拟数据集，时间序列长，可对黑河流域中游的经济发展变化和产业结构变动提供参考信息。</w:t>
      </w:r>
    </w:p>
    <w:p>
      <w:r>
        <w:rPr>
          <w:sz w:val="32"/>
        </w:rPr>
        <w:t>2、关键词</w:t>
      </w:r>
    </w:p>
    <w:p>
      <w:pPr>
        <w:ind w:left="432"/>
      </w:pPr>
      <w:r>
        <w:rPr>
          <w:sz w:val="22"/>
        </w:rPr>
        <w:t>主题关键词：</w:t>
      </w:r>
      <w:r>
        <w:rPr>
          <w:sz w:val="22"/>
        </w:rPr>
        <w:t>社会经济</w:t>
        <w:br/>
      </w:r>
      <w:r>
        <w:rPr>
          <w:sz w:val="22"/>
        </w:rPr>
        <w:t>学科关键词：</w:t>
      </w:r>
      <w:r>
        <w:rPr>
          <w:sz w:val="22"/>
        </w:rPr>
        <w:t>人地关系</w:t>
        <w:br/>
      </w:r>
      <w:r>
        <w:rPr>
          <w:sz w:val="22"/>
        </w:rPr>
        <w:t>地点关键词：</w:t>
      </w:r>
      <w:r>
        <w:rPr>
          <w:sz w:val="22"/>
        </w:rPr>
        <w:t>张掖市</w:t>
        <w:br/>
      </w:r>
      <w:r>
        <w:rPr>
          <w:sz w:val="22"/>
        </w:rPr>
        <w:t>时间关键词：</w:t>
      </w:r>
      <w:r>
        <w:rPr>
          <w:sz w:val="22"/>
        </w:rPr>
        <w:t>2012-2030</w:t>
      </w:r>
    </w:p>
    <w:p>
      <w:r>
        <w:rPr>
          <w:sz w:val="32"/>
        </w:rPr>
        <w:t>3、数据细节</w:t>
      </w:r>
    </w:p>
    <w:p>
      <w:pPr>
        <w:ind w:left="432"/>
      </w:pPr>
      <w:r>
        <w:rPr>
          <w:sz w:val="22"/>
        </w:rPr>
        <w:t>1.比例尺：None</w:t>
      </w:r>
    </w:p>
    <w:p>
      <w:pPr>
        <w:ind w:left="432"/>
      </w:pPr>
      <w:r>
        <w:rPr>
          <w:sz w:val="22"/>
        </w:rPr>
        <w:t>2.投影：</w:t>
      </w:r>
    </w:p>
    <w:p>
      <w:pPr>
        <w:ind w:left="432"/>
      </w:pPr>
      <w:r>
        <w:rPr>
          <w:sz w:val="22"/>
        </w:rPr>
        <w:t>3.文件大小：0.052MB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西：103.0</w:t>
            </w:r>
          </w:p>
        </w:tc>
        <w:tc>
          <w:tcPr>
            <w:tcW w:type="dxa" w:w="2880"/>
          </w:tcPr>
          <w:p>
            <w:r>
              <w:t>-</w:t>
            </w:r>
          </w:p>
        </w:tc>
        <w:tc>
          <w:tcPr>
            <w:tcW w:type="dxa" w:w="2880"/>
          </w:tcPr>
          <w:p>
            <w:r>
              <w:t>东：96.0</w:t>
            </w:r>
          </w:p>
        </w:tc>
      </w:tr>
      <w:tr>
        <w:tc>
          <w:tcPr>
            <w:tcW w:type="dxa" w:w="2880"/>
          </w:tcPr>
          <w:p>
            <w:r>
              <w:t>-</w:t>
            </w:r>
          </w:p>
        </w:tc>
        <w:tc>
          <w:tcPr>
            <w:tcW w:type="dxa" w:w="2880"/>
          </w:tcPr>
          <w:p>
            <w:r>
              <w:t>南：36.0</w:t>
            </w:r>
          </w:p>
        </w:tc>
        <w:tc>
          <w:tcPr>
            <w:tcW w:type="dxa" w:w="2880"/>
          </w:tcPr>
          <w:p>
            <w:r>
              <w:t>-</w:t>
            </w:r>
          </w:p>
        </w:tc>
      </w:tr>
    </w:tbl>
    <w:p>
      <w:r>
        <w:rPr>
          <w:sz w:val="32"/>
        </w:rPr>
        <w:t>5、时间范围</w:t>
      </w:r>
      <w:r>
        <w:rPr>
          <w:sz w:val="22"/>
        </w:rPr>
        <w:t>2011-12-31 16:00:00+00:00</w:t>
      </w:r>
      <w:r>
        <w:rPr>
          <w:sz w:val="22"/>
        </w:rPr>
        <w:t>--</w:t>
      </w:r>
      <w:r>
        <w:rPr>
          <w:sz w:val="22"/>
        </w:rPr>
        <w:t>2030-12-30 16:00:00+00:00</w:t>
      </w:r>
    </w:p>
    <w:p>
      <w:r>
        <w:rPr>
          <w:sz w:val="32"/>
        </w:rPr>
        <w:t>6、引用方式</w:t>
      </w:r>
    </w:p>
    <w:p>
      <w:pPr>
        <w:ind w:left="432"/>
      </w:pPr>
      <w:r>
        <w:rPr>
          <w:sz w:val="22"/>
        </w:rPr>
        <w:t xml:space="preserve">数据的引用: </w:t>
      </w:r>
    </w:p>
    <w:p>
      <w:pPr>
        <w:ind w:left="432" w:firstLine="432"/>
      </w:pPr>
      <w:r>
        <w:t xml:space="preserve">吴锋. 黑河流域中游社会经济发展情景模拟结果（2012-2030）. 时空三极环境大数据平台, DOI:10.11888/HumanNat.tpdc.271982, CSTR:18406.11.HumanNat.tpdc.271982, </w:t>
      </w:r>
      <w:r>
        <w:t>2021</w:t>
      </w:r>
      <w:r>
        <w:t>.[</w:t>
      </w:r>
      <w:r>
        <w:t xml:space="preserve">WU Feng. Scenario simulation results of socio-economic development in the middle reaches of the Heihe River Basin（2012-2030）. A Big Earth Data Platform for Three Poles, DOI:10.11888/HumanNat.tpdc.271982, CSTR:18406.11.HumanNat.tpdc.271982,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r>
        <w:rPr>
          <w:sz w:val="22"/>
        </w:rPr>
        <w:t>中国科学院战略先导工程（XDA20100104）</w:t>
        <w:br/>
      </w:r>
    </w:p>
    <w:p>
      <w:r>
        <w:rPr>
          <w:sz w:val="32"/>
        </w:rPr>
        <w:t>8、数据资源提供者</w:t>
      </w:r>
    </w:p>
    <w:p>
      <w:pPr>
        <w:ind w:left="432"/>
      </w:pPr>
      <w:r>
        <w:rPr>
          <w:sz w:val="22"/>
        </w:rPr>
        <w:t xml:space="preserve">姓名: </w:t>
      </w:r>
      <w:r>
        <w:rPr>
          <w:sz w:val="22"/>
        </w:rPr>
        <w:t>吴锋</w:t>
        <w:br/>
      </w:r>
      <w:r>
        <w:rPr>
          <w:sz w:val="22"/>
        </w:rPr>
        <w:t xml:space="preserve">单位: </w:t>
      </w:r>
      <w:r>
        <w:rPr>
          <w:sz w:val="22"/>
        </w:rPr>
        <w:t>中国科学院地理科学与资源研究所</w:t>
        <w:br/>
      </w:r>
      <w:r>
        <w:rPr>
          <w:sz w:val="22"/>
        </w:rPr>
        <w:t xml:space="preserve">电子邮件: </w:t>
      </w:r>
      <w:r>
        <w:rPr>
          <w:sz w:val="22"/>
        </w:rPr>
        <w:t>wufeng@igsnrr.ac.cn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