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祁连山地貌特征数据（2020）</w:t>
      </w:r>
    </w:p>
    <w:p>
      <w:r>
        <w:rPr>
          <w:sz w:val="22"/>
        </w:rPr>
        <w:t>英文标题：Geomorphological data of Qilian Shan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本数据以流域为单位，对祁连山各流域的河流陡峭指数、凹度指数、流域面积、面积高程积分、侵蚀系数、侵蚀速率、降水等地貌特征数据进行提取和收集。其中河流陡峭指数与凹度指数是基于SRTM (Shuttle Radar Topography Mission) 3 弧秒 DEM数据提取的，流域侵蚀速率数据源于Palumbo et al. (2010) 和Palumbo et al. (2011)，降水数据源自Geng et al. (2017)。为增加数据的可信度，数据中还给出了置信度为95％时每个流域的河流陡峭指数的范围。该数据为分析祁连山地貌特征与构造格局的关系奠定了基础。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胡小飞, 张亚男. 祁连山地貌特征数据（2020）. 时空三极环境大数据平台, DOI:10.11888/Geogra.tpdc.271114, CSTR:18406.11.Geogra.tpdc.271114, </w:t>
      </w:r>
      <w:r>
        <w:t>2021</w:t>
      </w:r>
      <w:r>
        <w:t>.[</w:t>
      </w:r>
      <w:r>
        <w:t xml:space="preserve">HU  Xiaofei, ZHANG  Yanan. Geomorphological data of Qilian Shan (2020). A Big Earth Data Platform for Three Poles, DOI:10.11888/Geogra.tpdc.271114, CSTR:18406.11.Geogra.tpdc.271114,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Palumbo, L., Hetzel, R., Tao, M., &amp; Li, X. (2010). Topographic and lithologic control on catchment-wide denudation rates derived from cosmogenic 10Be in two mountain ranges at the margin of NE Tibet. Geomorphology, 117(1-2), 130-142.</w:t>
        <w:br/>
        <w:br/>
      </w:r>
      <w:r>
        <w:t>Palumbo, L., Hetzel, R., Tao, M., &amp; Li, X. (2011). Catchment-wide denudation rates at the margin of NE Tibet from in situ-produced cosmogenic 10Be. Terra Nova, 23(1), 42-48. doi:10.1111/j.1365-3121.2010.00982.x</w:t>
        <w:br/>
        <w:br/>
      </w:r>
      <w:r>
        <w:t>Geng, H., Pan, B., Huang, B., Cao, B., &amp; Gao, H. (2017). The spatial distribution of precipitation and topography in the Qilian Shan Mountains, northeastern Tibetan Plateau. Geomorphology, 297, 43-54. doi:10.1016/j.geomorph.2017.08.050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张亚男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zhangyn17@lzu.edu.cn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