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全国各地区人均GDP和增长率及排序（2010-2018）</w:t>
      </w:r>
    </w:p>
    <w:p>
      <w:r>
        <w:rPr>
          <w:sz w:val="22"/>
        </w:rPr>
        <w:t>英文标题：Per capita GDP and growth rate of all regions in China (2010-2018)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人均GDP和增长率及排序（2010-2018）的统计数据，数据是按年份进行划分的。数据整理自青海省统计局发布的青海省统计年鉴。数据集包含8个数据表，各数据表结构相同。例如2017-2018年的数据表共有4个字段：</w:t>
        <w:br/>
        <w:t>字段1：地  区</w:t>
        <w:br/>
        <w:t>字段2：数  量</w:t>
        <w:br/>
        <w:t>字段3：位  次</w:t>
        <w:br/>
        <w:t>字段4：增长率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全国各地区人均GDP和增长率及排序（2010-2018）. 时空三极环境大数据平台, </w:t>
      </w:r>
      <w:r>
        <w:t>2021</w:t>
      </w:r>
      <w:r>
        <w:t>.[</w:t>
      </w:r>
      <w:r>
        <w:t xml:space="preserve">Qinghai Provincial Bureau of Statistics. Per capita GDP and growth rate of all regions in China (2010-2018).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