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全国各地区城镇居民人均收支、恩格尔系数及排序（2004、2007）</w:t>
      </w:r>
    </w:p>
    <w:p>
      <w:r>
        <w:rPr>
          <w:sz w:val="22"/>
        </w:rPr>
        <w:t>英文标题：Per capita income and expenditure, Engel coefficient and ranking of urban residents in different regions of China (2004, 2007)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全国各地区城镇居民人均收支、恩格尔系数及排序（2004、2007）的统计数据，数据是按年份进行划分的。数据整理自青海省统计局发布的青海省统计年鉴。数据集包含2个数据表，分别为：全国各地区城镇居民人均收支、恩格尔系数及排序（2004年）2004.xls，全国各地区城镇居民人均收支、恩格尔系数及排序（2007年)）2007年.xls，数据表结构相同。例如2007年的数据表共有4个字段：</w:t>
        <w:br/>
        <w:t>字段1：省(市、区)</w:t>
        <w:br/>
        <w:t>字段2：可支配收入</w:t>
        <w:br/>
        <w:t>字段3：消费性支出</w:t>
        <w:br/>
        <w:t>字段4：恩格尔系数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恩格尔系数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人均收支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2004-2007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2003-12-31 16:00:00+00:00</w:t>
      </w:r>
      <w:r>
        <w:rPr>
          <w:sz w:val="22"/>
        </w:rPr>
        <w:t>--</w:t>
      </w:r>
      <w:r>
        <w:rPr>
          <w:sz w:val="22"/>
        </w:rPr>
        <w:t>2007-12-30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全国各地区城镇居民人均收支、恩格尔系数及排序（2004、2007）. 时空三极环境大数据平台, </w:t>
      </w:r>
      <w:r>
        <w:t>2021</w:t>
      </w:r>
      <w:r>
        <w:t>.[</w:t>
      </w:r>
      <w:r>
        <w:t xml:space="preserve">Qinghai Provincial Bureau of Statistics. Per capita income and expenditure, Engel coefficient and ranking of urban residents in different regions of China (2004, 2007).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