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黑河流域土壤质地数据（2011）</w:t>
      </w:r>
    </w:p>
    <w:p>
      <w:r>
        <w:rPr>
          <w:sz w:val="22"/>
        </w:rPr>
        <w:t>英文标题：Soil texture dataset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土壤质地数据（2011）是刘超等（2011）利用SOLIM模型，基于著名的土壤学Jenny方程，根据气候、生物、地形、母质等环境因子等，在黑河流域已有土壤质地图、土壤剖面的基础上，利用知识挖掘和模糊逻辑相结合的方法产生的，并融合了冰川、湖泊等专题图内容。制图方法根据黑河流域六个生态分区的不同特点，上中下游分别采用不同的制图方法。</w:t>
        <w:br/>
        <w:t>该数据采用1KM空间分辨率和WGS-84投影方式，数据格式为grid格式。土壤质地属性和类别均表示表层0-30cm土壤质地属性，通过深度加权平均而来。属性表中texname表示土壤质地类型名称；sandrange, siltrange, clayrange分别表示USDA土壤三角图中砂粒、粉粒、粘粒含量范围，sandaverage, siltaverage, clayaverage取自实测土壤剖面的砂粒、粉粒、粘粒含量平均值，作为该土壤类型的砂粉粘含量。（注：粘壤土各粒级含量来源于北师大土壤质地图）。土壤质地分类标准为美国USDA制，砂粒粒级定义为（2~0.05mm），粉粒粒级为（0.05~0.002mm）及粘粒粒级定义为(&lt;0.002mm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2018-12-05 18:47:00+00:00</w:t>
      </w:r>
      <w:r>
        <w:rPr>
          <w:sz w:val="22"/>
        </w:rPr>
        <w:t>--</w:t>
      </w:r>
      <w:r>
        <w:rPr>
          <w:sz w:val="22"/>
        </w:rPr>
        <w:t>2018-12-05 18:47:00+00:00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黑河流域土壤质地数据（2011）. 时空三极环境大数据平台, DOI:10.3972/heihe.023.2013.db, CSTR:18406.11.heihe.023.2013.db, </w:t>
      </w:r>
      <w:r>
        <w:t>2013</w:t>
      </w:r>
      <w:r>
        <w:t>.[</w:t>
      </w:r>
      <w:r>
        <w:t xml:space="preserve">Soil texture dataset of the Heihe River Basin (2011). A Big Earth Data Platform for Three Poles, DOI:10.3972/heihe.023.2013.db, CSTR:18406.11.heihe.023.2013.db,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刘超, 卢玲, 胡晓利. 数字土壤质地制图方法比较－－以黑河张掖地区为例. 遥感技术与应用, 2011, 26(2): 177-185.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