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600" w:beforeAutospacing="0" w:after="300" w:afterAutospacing="0" w:line="240" w:lineRule="atLeast"/>
        <w:jc w:val="center"/>
        <w:textAlignment w:val="auto"/>
        <w:rPr>
          <w:rFonts w:ascii="黑体" w:hAnsi="宋体" w:eastAsia="黑体" w:cs="黑体"/>
          <w:color w:val="004186"/>
          <w:sz w:val="28"/>
          <w:szCs w:val="28"/>
        </w:rPr>
      </w:pPr>
      <w:r>
        <w:rPr>
          <w:rFonts w:hint="eastAsia" w:ascii="黑体" w:hAnsi="宋体" w:eastAsia="黑体" w:cs="黑体"/>
          <w:color w:val="004186"/>
          <w:sz w:val="28"/>
          <w:szCs w:val="28"/>
        </w:rPr>
        <w:t>海北藏族自治州2019年国民经济和社会发展统计公报</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jc w:val="center"/>
        <w:textAlignment w:val="auto"/>
        <w:rPr>
          <w:sz w:val="24"/>
        </w:rPr>
      </w:pPr>
      <w:r>
        <w:rPr>
          <w:sz w:val="24"/>
        </w:rPr>
        <w:t xml:space="preserve">来源：海北州统计局 日期：2020-04-09 15:40:00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 2019年，在州委州政府的坚强领导下，全州上下深入学习贯彻习近平新时代中国特色社会主义思想和党中央、国务院、省委、省政府各项决策部署，紧紧围绕</w:t>
      </w:r>
      <w:r>
        <w:rPr>
          <w:sz w:val="24"/>
        </w:rPr>
        <w:t>“</w:t>
      </w:r>
      <w:r>
        <w:rPr>
          <w:sz w:val="24"/>
          <w:szCs w:val="15"/>
        </w:rPr>
        <w:t>一优两高</w:t>
      </w:r>
      <w:r>
        <w:rPr>
          <w:sz w:val="24"/>
        </w:rPr>
        <w:t>”</w:t>
      </w:r>
      <w:r>
        <w:rPr>
          <w:sz w:val="24"/>
          <w:szCs w:val="15"/>
        </w:rPr>
        <w:t>战略部署，统筹推进稳增长、促改革、调结构、保生态、惠民生、防风险各项工作，全州经济扭转连续两年负增长态势，主要经济指标运行均好于往年，呈现出良好发展态势。</w:t>
      </w:r>
      <w:r>
        <w:rPr>
          <w:sz w:val="24"/>
        </w:rPr>
        <w:t> </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一、  综合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经省统计局初步核定，全年全州地区生产总值91.7亿元，按可比价格计算，比上年增长3.3%。分产业看，第一产业增加值25.62亿元、增长4.5%；第二产业增加值22亿元、增长7.6%；第三产业增加值44.08亿元、增长0.5%。三次产业比为27.9：24：48.1。人均地区生产总值32220元，比上年增长2.9%。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    省统计局核定反馈的常住人口显示：年末全州常住人口28.49万人，比上年末增加0.06万人。按城乡分，城镇常住人口11.43万人、比上年末增加0.12万人，占全州常住人口的比重（常住人口城镇化率）为40.12%、比上年末提高0.34个百分点。公安部门统计资料显示：年末全州户籍人口29.56万人，其中,城镇户籍人口8.05万人，占总户籍人口的比重（户籍人口城镇化率）为27.25%；乡村户籍人口21.5万人、占72.75%。</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全年全州城镇新增就业2280人。年末城镇登记失业率为2.6%。全年农牧区劳动力转移就业4.68万人。全年省定监测点海晏县居民消费价格（CPI）上涨2.5%。</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二、种植业和畜牧业</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农作物总播种面积84.05万亩，其中：粮食作物31.67万亩、油料作物45.63万亩、饲草料5.45万亩、蔬菜及特种作物面积1.3万亩，粮油草特种植结构由上年29.8：60.7：7.7：1.8调整为37.6：54.3：6.5：1.6。粮食产量8.66万吨、增长77.1%，油料产量5.05万吨、增长6.8%，蔬菜产量0.95万吨、增长4.9%；年末全州牛存栏63.19万头，比上年末增长29.2%；羊存栏282.02万只，下降0.5%；生猪存栏0.08万头，下降96.2%；家禽存栏0.27万只，下降100%。全年全州牛羊出栏202.46万头只、增长3.7%，各类肉产量5.08万吨、下降0.4%，牛奶产量3.55万吨、增长1.4%。</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三、工业和建筑业</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全年全州全部工业增加值11.82亿元，按可比价格计算，比上年增长4.8%。规模以上工业增加值增长4.8%。</w:t>
      </w:r>
      <w:r>
        <w:rPr>
          <w:b/>
          <w:sz w:val="24"/>
          <w:szCs w:val="15"/>
        </w:rPr>
        <w:t>从轻重工业看，</w:t>
      </w:r>
      <w:r>
        <w:rPr>
          <w:sz w:val="24"/>
          <w:szCs w:val="15"/>
        </w:rPr>
        <w:t>轻工业增长34.3%，增幅高于规上工业29.5个百分点、比上年提高81.7个百分点；重工业增长4.1%、降幅比上年提高14.7个百分点。</w:t>
      </w:r>
      <w:r>
        <w:rPr>
          <w:b/>
          <w:sz w:val="24"/>
          <w:szCs w:val="15"/>
        </w:rPr>
        <w:t>从产品产量看，</w:t>
      </w:r>
      <w:r>
        <w:rPr>
          <w:sz w:val="24"/>
          <w:szCs w:val="15"/>
        </w:rPr>
        <w:t>规模以上工业企业14种产品产量中，增长的有10种，占71.4%，依次为：微生物肥料增长1.9倍，洗煤增长1.7倍，沥青增长80.2%，乳制品增长59.1%，饲料增长46.2%，碳化硅增长36.9%，鲜冷藏肉增长22.9%，热力增长22.4%，供电量增长17.9%，黄金增长10.1%；下降的有4种，占28.6%，依次为：火力发电量下降39.4%，光伏发电量下降8.4%，原煤下降4.6%，水力发电量下降0.5%。从行业看，在八个中类行业中，增长6个，依次为：石油、煤炭及其他燃料加工业增长2.98倍，化学原料和化学制品制造业增长73.4%，食品制造业增长61.3%，农副食品加工业增长27.6%，煤炭开采和洗选业增长14.2%，有色金属冶炼和压延加工业增长13%。下降2个，依次为：非金属矿物制品业（商品砼）下降25.1%，电力、热力生产和供应业下降8.7%。</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全年全州规模以上工业8个行业中，6个行业增加值比上年增长。</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全年全州建筑业增加值10.18亿元，按可比价格计算，比上年增长11.7%。</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四、服务业</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全年全州批发零售和住宿餐饮业增加值5.29亿元，比上年增长1.5%；交通运输、仓储和邮政业增加值2.72亿元，增长2.2%；金融业增加值3.7亿元，增长3.4%；房地产业增加值1.31亿元，增长1.8%。</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年末全州公路通车里程10146公里，比上年末增加59公里，公路运输业完成客运量940万人次、比上年增长4.1%，旅客周转量26261万人公里、增长4%，公路货运量271万吨、增长2.8%,货运周转量35326万吨公里、增长9%。</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全年全州邮政业务量2174.2万元，比上年增长13.4%。邮政业完成函件业务8.2万件，包裹业务1.56万件，快递业务量35.53万件，快递业务收入1346.51万元、比上年增长42%。电信业务量25675万元，比上年下降7.8%。</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五、固定资产投资</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固定资产投资完成35.9亿元，比上年增长11.4%。从产业看，三次产业投资快速增长。第一产业投资2.42亿元、增长8.9%，第二产业投资7.37亿元，增长44.3%，第三产业投资26.1亿元、增长4.8%。三次产业投资比由同期的6.9:15.9:77.2调整为6.7:20.5:72.8。从项目投资看，在投资总量中，5000万元以上项目52个，比上年增加11个，完成投资17.39亿元、下降2.5%；500-5000万元项目332个、增加115个，完成投资13.86亿元，比上年增长31.1%。房地产企业开发项目完成投资比上年增长21.9%，占总投资额的12.9%。民间投资同比增长4.5%，占州县属投资完成额的18.8%，占比比上年下降1.2个百分点。从投资类型看，国有投资增长13.4%，有限责任公司投资下降17.9%，私营个体投资增长3.3%，其他投资增长93.6%。</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六、国内贸易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全年全州实现社会消费品零售总额26.05亿元、比上年增长6.2%，增幅回落0.4个百分点。</w:t>
      </w:r>
      <w:r>
        <w:rPr>
          <w:b/>
          <w:sz w:val="24"/>
          <w:szCs w:val="15"/>
        </w:rPr>
        <w:t>按规模分，</w:t>
      </w:r>
      <w:r>
        <w:rPr>
          <w:sz w:val="24"/>
          <w:szCs w:val="15"/>
        </w:rPr>
        <w:t>限额以上企业（单位）零售额 2.46亿元，增长6.1%。</w:t>
      </w:r>
      <w:r>
        <w:rPr>
          <w:b/>
          <w:sz w:val="24"/>
          <w:szCs w:val="15"/>
        </w:rPr>
        <w:t>按经营地分，</w:t>
      </w:r>
      <w:r>
        <w:rPr>
          <w:sz w:val="24"/>
          <w:szCs w:val="15"/>
        </w:rPr>
        <w:t>城镇消费品零售额22.02亿元、增长6.4%；乡村消费品零售4.03亿元、比上年增长5.3%。</w:t>
      </w:r>
      <w:r>
        <w:rPr>
          <w:b/>
          <w:sz w:val="24"/>
          <w:szCs w:val="15"/>
        </w:rPr>
        <w:t>按消费形态分，</w:t>
      </w:r>
      <w:r>
        <w:rPr>
          <w:sz w:val="24"/>
          <w:szCs w:val="15"/>
        </w:rPr>
        <w:t>商品批发零售21.49亿元，增长6%；住宿餐饮收入4.56亿元，增长7.2%。</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七、  财政和金融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地方公共财政预算收入3.75亿元、比上年下降15.5%。其中：税收收入累计完成2.55亿元、比上年下降22.3%，占总收入的68.05%，非税收收入累计完成1.2亿元、比上年增长3.6%，占31.95%。地方公共财政预算支出82.98亿元、同比增长4.6%。其中：一般公共服务、公共安全、教育、科学技术、社会保障和就业、医疗卫生、节能环保、城乡社区事务等财政八项支出同比增长3.3%。</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12月末，全州金融机构各项存款余额149.83亿元、同比增加3.9亿元、增长2.7%，其中：住户存款余额67.71亿元、增长9%，非金融企业存款25.69亿元、增长25%；金融机构各项贷款余额81.37亿元、同比增加4.86亿元、增长6.3%，其中：住户贷款余额43.77亿元、增长20.1%；非金融企业及机关团体贷款37.59亿元、同比下降6.2%。存贷比由上年1.91：1缩小到1.84：1。</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全年全州保险公司保费收入2.87亿元，同比增加0.38亿元，同比增长15.4%；赔款给付0.87亿元，同比增加0.19亿元，同比增长28.2%。</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八、  居民收入消费和社会保障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全体居民人均可支配收入20392元、比上年增长9.1%。全州城镇常住居民人均可支配收入33927元，增长7.2%；农村常住居民人均可支配收入13914元、增长9.2%。城乡居民人均收入比（以农村居民人均收入为1）为2.44，比上年缩小0.05。</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全州全体居民人均生活消费支出12964元，比上年增长5.8%，恩格尔系数为32.1%。城镇常住居民人均生活消费支出18319元，增长2.4%，恩格尔系数为31.6%；农村常住居民人均生活消费支出10400元，增长7.6%，恩格尔系数为32.6%。</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州城乡居民养老保险参保人数15.63万人；机关事业单位养老保险参保人数1.18万人，比上年末增加496人；全州医疗保险参保人数27.6万人，比上年末减少2808人。其中，职工医疗保险参保2.97万人，增长22人；城乡居民医疗保险参保人数24.63万人，减少2830人；全州失业保险参保人数1.29万人，增加115人；工伤保险参保人数2.18万人，增加2352人；生育保险参保人数1.64万人，增加52人。2019年末,全州享受城镇最低生活保障人数 6177人，享受农村最低生活保障人数 13468人。</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九、科学技术和教育</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全年累计完成科学研究、技术开发、成果推广项目30余项，取得各类科研成果30余项。共申报获批各类专利40余项，其中发明专利1项，成功申报并获批海北达玉部落文体旅游产业发展有限公司等3家科技型企业、刚察县洛藏孵化园1家众创空间。</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2019年，全年全州学龄儿童入学率 99.9%，比上年提高0.01个百分点；普通初中毛入学率105.8%；九年义务教育巩固率96.8%，比上年提高1.3个百分点；高中阶段毛入学率 93.6%，比上年提高9.75 百分点。中等职业教育招生1589人，在校生4521人，毕业生649人。普通高中招生2058人，在校生6246人，毕业生1968人。初中学校招生3637人，在校生11343人，毕业生384人。普通小学招生3972人，在校生22721人，毕业生3764人。特殊教育招生6人，在校生86人，毕业生7人。幼儿园在园幼儿10883人。</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十、</w:t>
      </w:r>
      <w:r>
        <w:rPr>
          <w:sz w:val="24"/>
        </w:rPr>
        <w:t xml:space="preserve">       </w:t>
      </w:r>
      <w:r>
        <w:rPr>
          <w:sz w:val="24"/>
          <w:szCs w:val="15"/>
        </w:rPr>
        <w:t>文化旅游、卫生健康和体育</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sz w:val="24"/>
          <w:szCs w:val="15"/>
        </w:rPr>
        <w:t>年末全州有艺术表演团体5个，文化馆5个，公共图书馆5个，博物馆2个，广播电视台5个，广播人口综合覆盖率98.4%；电视人口综合覆盖率98.9%。</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全年全州接待游客1164.56万人次，比上年增长16.5%。实现旅游总收入42.41亿元，增长26.03%。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年末全州医疗卫生机构381家，床位1720张。其中，医院9个，床位1720张；乡镇卫生院37个，社区卫生服务中心7个，妇幼保健和计划生育服务中心5个，疾病预防控制中心5个，村卫生室256个，门诊部、诊所86个，卫生监督所5个。全州医疗卫生机构卫生专业技术人员1296人。其中，执业（助理）医师744人，注册护士363人。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年末全州有等级运动员7人，其中，健将1人、二级运动员6人。参加国内外比赛6人次，获得第二名1个。全年销售体育彩票1930元。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十一、环境和应急管理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年末全州自然保护区2个,面积12897万平方公里，其中，国家级自然保护区1个，面积4952万平方公里。省级自然保护区11个，面积7945万平方公里。湿地面积44.66万公顷，其中，自然湿地面积44.58万公顷。国家重点公益林管护面积32.8万公顷，天然林保护面积30.37万公顷。全年全民义务植树121万株，造林面积0.55万公顷。森林面积57.68万公顷，森林覆盖率17.2%。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全年全州各类生产安全事故死亡23人，与上年持平。工矿商贸事故死亡12人，比上年增加6人。道路交通事故9起，比上年减少3起；死亡11人，比上年减少6人。火灾69起，比上年减少10起。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rStyle w:val="5"/>
          <w:sz w:val="24"/>
          <w:szCs w:val="15"/>
        </w:rPr>
        <w:t> </w:t>
      </w:r>
      <w:r>
        <w:rPr>
          <w:sz w:val="24"/>
        </w:rPr>
        <w:t> </w:t>
      </w:r>
    </w:p>
    <w:p>
      <w:pPr>
        <w:pStyle w:val="2"/>
        <w:keepNext w:val="0"/>
        <w:keepLines w:val="0"/>
        <w:pageBreakBefore w:val="0"/>
        <w:widowControl/>
        <w:suppressLineNumbers w:val="0"/>
        <w:kinsoku/>
        <w:wordWrap/>
        <w:overflowPunct/>
        <w:topLinePunct w:val="0"/>
        <w:autoSpaceDE/>
        <w:autoSpaceDN/>
        <w:bidi w:val="0"/>
        <w:adjustRightInd/>
        <w:snapToGrid/>
        <w:spacing w:line="240" w:lineRule="atLeast"/>
        <w:textAlignment w:val="auto"/>
        <w:rPr>
          <w:sz w:val="24"/>
        </w:rPr>
      </w:pPr>
      <w:r>
        <w:rPr>
          <w:sz w:val="24"/>
        </w:rPr>
        <w:t>　</w:t>
      </w:r>
      <w:r>
        <w:rPr>
          <w:b/>
          <w:bCs/>
          <w:sz w:val="24"/>
          <w:szCs w:val="24"/>
        </w:rPr>
        <w:t>　</w:t>
      </w:r>
      <w:r>
        <w:rPr>
          <w:rStyle w:val="5"/>
          <w:b/>
          <w:bCs/>
          <w:sz w:val="24"/>
          <w:szCs w:val="24"/>
        </w:rPr>
        <w:t>资料来源：</w:t>
      </w:r>
      <w:r>
        <w:rPr>
          <w:sz w:val="24"/>
        </w:rPr>
        <w:t>本公报中人口数据户籍人口数来自州公安局、常住人口数来自州统计局；财政数据来自州财政局；登记失业率、农牧区劳动力转移就业人数和社会保障数据来自州人力资源和社会保障局；物价数据来自国家统计局海北调查队，城乡居民收入数据来自国家统计局青海调查总队和国家统计局海北调查队；公路客货运输量、周转量来自州交通运输局；邮电业数据来自州邮政局和电信、移动、联通公司；旅游数据来自州旅游局；金融数据来自中国人民银行海北中心支行；保险业数据来自州各保险公司；城乡最低生活保障人数数据来自州民政局；教育数据来自州教育局、科技数据来自州农牧和科技局；艺术表演团体、群艺馆、博物馆、文物管理所、体育及广播电视数据来自州文体旅游广电局；卫生数据来自州卫生健康委员会；自然保护区数据、国家重点公益林管护面积、天然林保护面积等数据来自州林业和草原局；生产安全数据来自州安全生产监督管理局；其他数据均来自州统计局。 </w:t>
      </w:r>
    </w:p>
    <w:p>
      <w:pPr>
        <w:keepNext w:val="0"/>
        <w:keepLines w:val="0"/>
        <w:pageBreakBefore w:val="0"/>
        <w:kinsoku/>
        <w:wordWrap/>
        <w:overflowPunct/>
        <w:topLinePunct w:val="0"/>
        <w:autoSpaceDE/>
        <w:autoSpaceDN/>
        <w:bidi w:val="0"/>
        <w:adjustRightInd/>
        <w:snapToGrid/>
        <w:spacing w:line="240" w:lineRule="atLeast"/>
        <w:textAlignment w:val="auto"/>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9E3725"/>
    <w:rsid w:val="3E9E3725"/>
    <w:rsid w:val="5E0D004C"/>
    <w:rsid w:val="6D84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2020-09-24T12:39:00Z</dcterms:created>
  <dc:creator>小米</dc:creator>
  <cp:lastModifiedBy>小米</cp:lastModifiedBy>
  <dcterms:modified xsi:type="dcterms:W3CDTF">2020-09-24T12:41:01Z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