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44234" w14:textId="77777777" w:rsidR="00970F0D" w:rsidRDefault="002F1372" w:rsidP="002F1372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玉树州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2019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年国民经济和社会发展统计公报</w:t>
      </w:r>
    </w:p>
    <w:p w14:paraId="1AEC779F" w14:textId="77777777" w:rsidR="00970F0D" w:rsidRDefault="002F1372" w:rsidP="002F1372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来源：玉树州统计局</w:t>
      </w:r>
      <w:r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日期：</w:t>
      </w:r>
      <w:r>
        <w:rPr>
          <w:rFonts w:ascii="宋体" w:eastAsia="宋体" w:hAnsi="宋体" w:cs="宋体"/>
          <w:sz w:val="24"/>
        </w:rPr>
        <w:t>2020-09-21 17:38:00</w:t>
      </w:r>
    </w:p>
    <w:p w14:paraId="7CB5C11C" w14:textId="77777777" w:rsidR="00970F0D" w:rsidRDefault="00970F0D" w:rsidP="002F1372">
      <w:pPr>
        <w:spacing w:line="360" w:lineRule="auto"/>
        <w:rPr>
          <w:rFonts w:ascii="宋体" w:eastAsia="宋体" w:hAnsi="宋体" w:cs="宋体"/>
          <w:sz w:val="24"/>
        </w:rPr>
      </w:pPr>
    </w:p>
    <w:p w14:paraId="63BE51C5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年，玉树州委、州政府坚持以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习近平新时代中国特色社会主义思想为指导，全面贯彻党的十九大和十九届二中、三中、四中全会精神，按照国家及省州决策部署，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认真落实“四个扎扎实实”重大要求，深入实施“五四战略”，奋力推进“一优两高”，全州经济和社会发展稳中有进、各项指标趋于合理区间。</w:t>
      </w:r>
    </w:p>
    <w:p w14:paraId="1753E37C" w14:textId="77777777" w:rsidR="00970F0D" w:rsidRDefault="002F1372" w:rsidP="002F1372">
      <w:pPr>
        <w:widowControl/>
        <w:spacing w:before="96" w:after="96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一、综合</w:t>
      </w:r>
    </w:p>
    <w:p w14:paraId="084ADBA0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初步核算，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年全州实现地区生产总值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59.82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5.1%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。分产业看，第一产业完成增加值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34.44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3.7%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；第二产业完成增加值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5.42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4.0%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；第三产业完成增加值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19.96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7.7%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  <w:r>
        <w:rPr>
          <w:rFonts w:ascii="宋体" w:eastAsia="宋体" w:hAnsi="宋体" w:cs="宋体" w:hint="eastAsia"/>
          <w:kern w:val="0"/>
          <w:sz w:val="24"/>
          <w:lang w:bidi="ar"/>
        </w:rPr>
        <w:t> </w:t>
      </w:r>
    </w:p>
    <w:p w14:paraId="3AD838DB" w14:textId="77777777" w:rsidR="00970F0D" w:rsidRDefault="002F1372" w:rsidP="002F1372">
      <w:pPr>
        <w:widowControl/>
        <w:spacing w:before="96" w:after="96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二、农业和畜牧业</w:t>
      </w:r>
    </w:p>
    <w:p w14:paraId="1409F816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全年农作物总种植面积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17.21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万亩，比上年增加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0.56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万亩。其中粮食种植面积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11.57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万亩，比上年增加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万亩。在粮食作物中，马铃薯种植面积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1.2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万亩，同比下降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2.44%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；青稞种植面积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10.06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万亩，比上年增加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0.73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万亩；豌豆种植面积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0.31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万亩，同比下降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3.13%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。油料种植面积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0.48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万亩，比上年减少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0.03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万亩；蔬菜种植面积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0.47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万亩，与上年持平；其他作物种植面积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4.69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万亩，与上年持平。在农产品产量中：粮食总产量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11146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吨，同比增长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14.18%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；油料总产量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616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吨，比上年减少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295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吨；蔬菜产量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0.42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万吨，同比下降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0.98%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5D7F2541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  <w:rPr>
          <w:rFonts w:ascii="宋体" w:eastAsia="宋体" w:hAnsi="宋体" w:cs="宋体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年末草食牲畜存栏总数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211.49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万头只匹，同比下降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9.31%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。其中大牲畜存栏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169.27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万头，同比下降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7.71%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；羊存栏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42.22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万只，同比下降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15.19%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，牛存栏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167.41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万头，同比下降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7.73%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。成幼畜减损数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21.8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万头只匹，减损率为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9.35%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，比上年上升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4.04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个百分点。育活仔畜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62.52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万头（只），仔畜成活率为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87.33%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，比上年减少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3.04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个百分点。在畜产品产量中：肉类总产量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3.57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万吨，同比下降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0.37%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；奶类产量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3.8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万吨，同比增长增长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3.97%</w:t>
      </w:r>
      <w:r>
        <w:rPr>
          <w:rFonts w:ascii="宋体" w:eastAsia="宋体" w:hAnsi="宋体" w:cs="宋体" w:hint="eastAsia"/>
          <w:kern w:val="0"/>
          <w:sz w:val="24"/>
          <w:shd w:val="clear" w:color="auto" w:fill="FFFFFF"/>
          <w:lang w:bidi="ar"/>
        </w:rPr>
        <w:t>。</w:t>
      </w:r>
    </w:p>
    <w:p w14:paraId="71C51078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noProof/>
        </w:rPr>
        <w:lastRenderedPageBreak/>
        <w:drawing>
          <wp:inline distT="0" distB="0" distL="114300" distR="114300" wp14:anchorId="16C12FEC" wp14:editId="0C581EAB">
            <wp:extent cx="5269865" cy="2157095"/>
            <wp:effectExtent l="0" t="0" r="698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5ADFA" w14:textId="77777777" w:rsidR="00970F0D" w:rsidRDefault="002F1372" w:rsidP="002F1372">
      <w:pPr>
        <w:widowControl/>
        <w:spacing w:before="96" w:after="96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三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、固定资产投资</w:t>
      </w:r>
    </w:p>
    <w:p w14:paraId="4AC01654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年全州全社会固定资产投资同比增长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48.81%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。一、二、三产分别占投资完成额的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2.09%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57.31 %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40.6%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，投资主要集中在第二、三产业；在库项目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417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个，其中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5000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万元以上大项目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个，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500-5000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万元项目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374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个；完成建安投资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414072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万元，占投资完成额的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85.93%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46256B6F" w14:textId="77777777" w:rsidR="00970F0D" w:rsidRDefault="002F1372" w:rsidP="002F1372">
      <w:pPr>
        <w:widowControl/>
        <w:spacing w:beforeAutospacing="1" w:after="96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四、国内贸易、旅游</w:t>
      </w:r>
    </w:p>
    <w:p w14:paraId="24974FC7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noProof/>
        </w:rPr>
        <w:drawing>
          <wp:inline distT="0" distB="0" distL="114300" distR="114300" wp14:anchorId="2B9D46DC" wp14:editId="4BB43D5D">
            <wp:extent cx="5269230" cy="2959735"/>
            <wp:effectExtent l="0" t="0" r="762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C3F96" w14:textId="77777777" w:rsidR="00970F0D" w:rsidRDefault="002F1372" w:rsidP="002F1372">
      <w:pPr>
        <w:widowControl/>
        <w:spacing w:before="160" w:after="300" w:line="360" w:lineRule="auto"/>
        <w:ind w:firstLine="643"/>
        <w:jc w:val="left"/>
      </w:pPr>
      <w:r>
        <w:rPr>
          <w:rFonts w:ascii="仿宋" w:eastAsia="仿宋" w:hAnsi="仿宋" w:cs="仿宋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年全州社会消费品零售总额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14.14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6.3%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。按经营地分：城镇消费品零售额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9.7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6.6%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；乡村消费品零售额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4.4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亿元，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lastRenderedPageBreak/>
        <w:t>同比增长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5.5%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。按消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费形态分：商品零售额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12.73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6.3 %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；餐饮收入额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1.41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5.7%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。</w:t>
      </w:r>
    </w:p>
    <w:p w14:paraId="2B804379" w14:textId="77777777" w:rsidR="00970F0D" w:rsidRDefault="002F1372" w:rsidP="002F1372">
      <w:pPr>
        <w:widowControl/>
        <w:spacing w:before="158" w:after="300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全年共接待国内外游客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147.78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万人次，同比增长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32.26%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；旅游总收入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9.3845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亿元，同比增长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29.2%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年电信业务总量为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10851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万元，同比下降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6.74%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；移动业务总量为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166329.66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87%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；联通业务总量为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4942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万元，同比下降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13.42%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，邮政业务总量为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2404.4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20.93%</w:t>
      </w:r>
    </w:p>
    <w:p w14:paraId="72A93499" w14:textId="77777777" w:rsidR="00970F0D" w:rsidRDefault="002F1372" w:rsidP="002F1372">
      <w:pPr>
        <w:widowControl/>
        <w:spacing w:before="318" w:after="300" w:line="360" w:lineRule="auto"/>
        <w:ind w:firstLine="64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五、社会保障</w:t>
      </w:r>
    </w:p>
    <w:p w14:paraId="6053C1E6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年全州发放城乡居民养老保险金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6372.8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万元，发放企业职工养老保险金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7332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万元，发放机关事业单位养老保险金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11.06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亿元；全州企业职工养老保险参保人数为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1.39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万人，机关事业单位养老保险参保人数为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1.96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万人、城乡居民养老保险参保人数为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22.15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万人，基本医疗保险参保人数为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38.71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万人，失业保险参保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0.99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万人，工伤保险参保人数为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2.1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万人，生育保险参保人数为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万人。社保基金征缴收入为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9.99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</w:t>
      </w:r>
    </w:p>
    <w:p w14:paraId="08427930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年全州市县城镇新增就业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1005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人，城镇失业人员实现再就业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人，农村剩余劳动力有序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流动就业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万人次，城乡劳动力技能培训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3800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人。</w:t>
      </w:r>
    </w:p>
    <w:p w14:paraId="792FD7BD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年全州城镇低保对象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6191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户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12973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人，农村低保对象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20324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户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70824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人；全年累计兑现城镇低保金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10954.35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万元，兑现农牧区低保金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35236.94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万元；年内享受特困人员供养政策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4329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人，支出供养资金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6906.97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万元。</w:t>
      </w:r>
    </w:p>
    <w:p w14:paraId="3B745B6E" w14:textId="77777777" w:rsidR="00970F0D" w:rsidRDefault="002F1372" w:rsidP="002F1372">
      <w:pPr>
        <w:widowControl/>
        <w:spacing w:before="96" w:after="96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六、财政和金融：</w:t>
      </w:r>
    </w:p>
    <w:p w14:paraId="79E468D8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noProof/>
        </w:rPr>
        <w:lastRenderedPageBreak/>
        <w:drawing>
          <wp:inline distT="0" distB="0" distL="114300" distR="114300" wp14:anchorId="5CA2F1A6" wp14:editId="721D577A">
            <wp:extent cx="4533900" cy="3600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71729" w14:textId="77777777" w:rsidR="00970F0D" w:rsidRDefault="002F1372" w:rsidP="002F1372">
      <w:pPr>
        <w:widowControl/>
        <w:spacing w:beforeAutospacing="1" w:after="160" w:line="360" w:lineRule="auto"/>
        <w:ind w:firstLine="640"/>
        <w:jc w:val="left"/>
      </w:pPr>
      <w:r>
        <w:rPr>
          <w:rFonts w:ascii="仿宋" w:eastAsia="仿宋" w:hAnsi="仿宋" w:cs="仿宋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年全州一般财政公共预算收入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亿元，其中，税收收入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亿元，非税收收入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0.79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亿元。全州一般公共预算支出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153.45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亿元。其中：一般公共服务支出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15.1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亿元，教育支出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24.3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亿元，社会保障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和就业支出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21.5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亿元，卫生健康支出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10.58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亿元，节能环保支出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2.26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</w:t>
      </w:r>
    </w:p>
    <w:p w14:paraId="216060EE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年末，全州金融机构各项存款余额为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129.57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亿元，其中：住户储蓄存款余额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63.4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亿元，非金融企业存款余额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11.27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亿元，财政性存款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11.91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亿元，机关团体存款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42.99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亿元。各项贷款余额为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54.19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亿元，其中：住户贷款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18.02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亿元，非金融企业贷款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36.17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亿元。</w:t>
      </w:r>
    </w:p>
    <w:p w14:paraId="0973468F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全年保险公司原保险保费收入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26911.39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22.22%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，其中：人身险保费收入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4719.58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47.21%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；财产险保费收入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22191.82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17.96%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。全年保险赔付支出为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21525.35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45.79%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，其中：财产险支出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18098.28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47.98%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；人身险支出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3427.06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35.21%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266682FD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七、教育和邮政</w:t>
      </w:r>
    </w:p>
    <w:p w14:paraId="45BBEFBD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lastRenderedPageBreak/>
        <w:t>2019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年全州年末有各类学校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227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所，共有注册在校学生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112931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人。全州小学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82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所，在校生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53817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人；初级中学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10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所，九年一贯制学校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所，完全中学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所，高级中学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所，特殊教育学校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 xml:space="preserve">1 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所，初中在校生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 xml:space="preserve"> 23077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人，高中在校生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10234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人（含异地办班生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3380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人），特殊学校在校生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56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人，职业学校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所，注册在校生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5844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人（含异地生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1401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人），幼儿园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124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所，在园幼儿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19959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人，全州各级各类教职数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7183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人（正式在编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4603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人）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,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其中专任教师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5591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人。</w:t>
      </w:r>
    </w:p>
    <w:p w14:paraId="55E8F89B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宋体" w:eastAsia="宋体" w:hAnsi="宋体" w:cs="宋体" w:hint="eastAsia"/>
          <w:kern w:val="0"/>
          <w:sz w:val="24"/>
          <w:lang w:bidi="ar"/>
        </w:rPr>
        <w:t> 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全年全州邮政行业业务收入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不包括邮政储蓄银行直接营业收入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)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3247.72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15.5%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；业务总量累计完成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2404.4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20.93%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。邮政寄递服务业务收入累计完成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250.74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5.2%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。全年邮政函件业务累计完成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3.24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,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24.62%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；包裹业务累计完成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1.17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,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17.02%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；报纸业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务累计完成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406.04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万件，同比下降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4.92%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；杂志业务累计完成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12.03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万件，同比下降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8.18%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；全年全州快递服务企业业务量累计完成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21.54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32.23%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；业务收入累计完成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839.03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28.82%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。其中，同城业务量累计完成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0.66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万件，同比下降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29.95%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；异地业务量累计完成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20.87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万件，同比增长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36.08%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65962F11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八、文化：</w:t>
      </w:r>
    </w:p>
    <w:p w14:paraId="4D989A6F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全州年末共有广播电视转播站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座，广播无线发射基站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40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座，有线电视用户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11490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户，“村村通”用户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42380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户，“户户通”用户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51068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户，电视综合人口覆盖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率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97.38 %,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广播覆盖率为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96.72%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。全州共有艺术事业机构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个；图书馆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个；群众文化机构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个；全州文物管理所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0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所（因机构改革，全州各市县文物管理所均已撤并）。</w:t>
      </w:r>
    </w:p>
    <w:p w14:paraId="72696671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年全州年末共有卫生机构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86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个，其中：县级以上医院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个（综合医院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个，藏医院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个，精神病专科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个）、乡镇卫生院（卫生服务中心）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50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个、疾病预防控制中心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个、卫生监督所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个、采血机构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个、妇幼保健计划服务中心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个。年末设置床位数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2375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张。</w:t>
      </w:r>
    </w:p>
    <w:p w14:paraId="508C0040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九、人口和人民生活：</w:t>
      </w:r>
    </w:p>
    <w:p w14:paraId="25F27330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lastRenderedPageBreak/>
        <w:t>2019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年全州年末常住总人口为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42.25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万人，比上年增加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0.59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万人。按城乡分：城镇常住人口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15.57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万人，占常住人口的比重为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36.85%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；比上年提高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0.2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个百分点；乡村常住人口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26.68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万人，占常住人口的比重为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63.15%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。</w:t>
      </w:r>
    </w:p>
    <w:p w14:paraId="6139CD68" w14:textId="77777777" w:rsidR="00970F0D" w:rsidRDefault="002F1372" w:rsidP="002F1372">
      <w:pPr>
        <w:widowControl/>
        <w:spacing w:beforeAutospacing="1" w:after="300" w:line="360" w:lineRule="auto"/>
        <w:ind w:firstLine="640"/>
        <w:jc w:val="left"/>
      </w:pP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年末全州户籍人口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41.54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万人，其中城镇户籍人口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7.12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万人；乡村户籍人口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34.41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万人，占总人口的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82.8 %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，在户籍人口中少数民族人口数为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41.08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万人，占户籍人口的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98.9%</w:t>
      </w:r>
      <w:r>
        <w:rPr>
          <w:rFonts w:ascii="仿宋" w:eastAsia="仿宋" w:hAnsi="仿宋" w:cs="仿宋" w:hint="eastAsia"/>
          <w:kern w:val="0"/>
          <w:sz w:val="24"/>
          <w:shd w:val="clear" w:color="auto" w:fill="FFFFFF"/>
          <w:lang w:bidi="ar"/>
        </w:rPr>
        <w:t>。</w:t>
      </w:r>
    </w:p>
    <w:p w14:paraId="0189E7E0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年全体居民人均可支配收入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18242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元，比上年增加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1893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11.58%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。其中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: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工资性收入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8182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23%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；经营净收入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6452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3.68%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；财产净收入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448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38.9%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；转移净收入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3160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0.17%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22912EBB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noProof/>
        </w:rPr>
        <w:drawing>
          <wp:inline distT="0" distB="0" distL="114300" distR="114300" wp14:anchorId="6AB1CBEB" wp14:editId="41E8E617">
            <wp:extent cx="5272405" cy="3609340"/>
            <wp:effectExtent l="0" t="0" r="444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0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A71CF" w14:textId="77777777" w:rsidR="00970F0D" w:rsidRDefault="002F1372" w:rsidP="002F1372">
      <w:pPr>
        <w:widowControl/>
        <w:spacing w:before="160" w:after="300" w:line="360" w:lineRule="auto"/>
        <w:ind w:firstLine="640"/>
        <w:jc w:val="left"/>
      </w:pPr>
      <w:r>
        <w:rPr>
          <w:rFonts w:ascii="仿宋" w:eastAsia="仿宋" w:hAnsi="仿宋" w:cs="仿宋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年城镇居民人均可支配收入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35167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元，比上年增加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2253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6.85 %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。其中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: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工资性收入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20654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15.7%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；经营净收入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7370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0.08 %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；财产净收入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1035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23.5 %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；转移净收入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6107     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元，同比下降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10.87%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29ACE82E" w14:textId="77777777" w:rsidR="00970F0D" w:rsidRDefault="002F1372" w:rsidP="002F1372">
      <w:pPr>
        <w:widowControl/>
        <w:spacing w:beforeAutospacing="1" w:after="300" w:line="360" w:lineRule="auto"/>
        <w:ind w:firstLine="627"/>
        <w:jc w:val="left"/>
      </w:pP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lastRenderedPageBreak/>
        <w:t>2019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年农村居民人均可支配收入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9138 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元，比上年增加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1331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17 %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。其中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: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工资性收入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1473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69.6 %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；经营净收入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5958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5.75 %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；财产净收入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 xml:space="preserve"> 132.8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132%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；转移净收入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1574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元，同比增长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26%</w:t>
      </w:r>
      <w:r>
        <w:rPr>
          <w:rFonts w:ascii="仿宋" w:eastAsia="仿宋" w:hAnsi="仿宋" w:cs="仿宋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695403ED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rFonts w:ascii="宋体" w:eastAsia="宋体" w:hAnsi="宋体" w:cs="宋体" w:hint="eastAsia"/>
          <w:kern w:val="0"/>
          <w:sz w:val="24"/>
          <w:lang w:bidi="ar"/>
        </w:rPr>
        <w:t>  </w:t>
      </w:r>
    </w:p>
    <w:p w14:paraId="5727856B" w14:textId="77777777" w:rsidR="00970F0D" w:rsidRDefault="002F1372" w:rsidP="002F1372">
      <w:pPr>
        <w:widowControl/>
        <w:spacing w:beforeAutospacing="1" w:after="300" w:line="360" w:lineRule="auto"/>
        <w:ind w:firstLine="482"/>
        <w:jc w:val="left"/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注：</w:t>
      </w:r>
    </w:p>
    <w:p w14:paraId="22365069" w14:textId="77777777" w:rsidR="00970F0D" w:rsidRDefault="002F1372" w:rsidP="002F1372">
      <w:pPr>
        <w:widowControl/>
        <w:spacing w:beforeAutospacing="1" w:after="300" w:line="360" w:lineRule="auto"/>
        <w:ind w:firstLine="480"/>
        <w:jc w:val="left"/>
      </w:pP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、本公报中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2019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年数据均为初步统计数据。</w:t>
      </w:r>
    </w:p>
    <w:p w14:paraId="18B78D43" w14:textId="77777777" w:rsidR="00970F0D" w:rsidRDefault="002F1372" w:rsidP="002F1372">
      <w:pPr>
        <w:widowControl/>
        <w:spacing w:beforeAutospacing="1" w:after="300" w:line="360" w:lineRule="auto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    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、地区生产总值、各产业增加值及人均生产总值按国家统计局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2012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年制定的《三次产业划分规定》口径统计，绝对数按现价计算，增长速度按可比价格计算。</w:t>
      </w:r>
    </w:p>
    <w:p w14:paraId="54B2F0E5" w14:textId="77777777" w:rsidR="00970F0D" w:rsidRDefault="002F1372" w:rsidP="002F1372">
      <w:pPr>
        <w:widowControl/>
        <w:spacing w:beforeAutospacing="1" w:after="300" w:line="360" w:lineRule="auto"/>
        <w:ind w:firstLine="480"/>
        <w:jc w:val="left"/>
      </w:pP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3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、固定资产投资统计口径为计划投资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500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万元及以上固定资产项目投资项目。</w:t>
      </w:r>
    </w:p>
    <w:p w14:paraId="6FD06BD0" w14:textId="77777777" w:rsidR="00970F0D" w:rsidRDefault="002F1372" w:rsidP="002F1372">
      <w:pPr>
        <w:widowControl/>
        <w:spacing w:beforeAutospacing="1" w:after="300" w:line="360" w:lineRule="auto"/>
        <w:ind w:firstLine="482"/>
        <w:jc w:val="left"/>
      </w:pPr>
      <w:r>
        <w:rPr>
          <w:rFonts w:ascii="仿宋_GB2312" w:eastAsia="仿宋_GB2312" w:hAnsi="宋体" w:cs="仿宋_GB2312"/>
          <w:b/>
          <w:color w:val="000000"/>
          <w:kern w:val="0"/>
          <w:sz w:val="24"/>
          <w:shd w:val="clear" w:color="auto" w:fill="FFFFFF"/>
          <w:lang w:bidi="ar"/>
        </w:rPr>
        <w:t>资料来源：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本公报中常住人口数通过人口变动抽样调查数据推算得出；医疗数据来自州卫生健康委员会；财政数据来自州财政局；就业数据、城镇登记失业率、社会保险来自州人力资源和社会保障局；医保数据来自州医疗保障局；通讯业务量、固定电话用户数、移动电话用户数来自州移动、联通、电信公司；邮政业务量来自州邮政</w:t>
      </w:r>
      <w:r>
        <w:rPr>
          <w:rFonts w:ascii="仿宋_GB2312" w:eastAsia="仿宋_GB2312" w:hAnsi="宋体" w:cs="仿宋_GB2312"/>
          <w:color w:val="000000"/>
          <w:kern w:val="0"/>
          <w:sz w:val="24"/>
          <w:shd w:val="clear" w:color="auto" w:fill="FFFFFF"/>
          <w:lang w:bidi="ar"/>
        </w:rPr>
        <w:t>公司；旅游数据州文体旅游局；金融数据来自中国人民银行玉树中心支行；保险业数据来自州银监局；教育数据来自州教育局；低保数据来自州民政局；全体居民人均可支配收入数据来自国家统计局玉树调查队；户籍人口数据来自州公安局；其他数据均来自州统计局。</w:t>
      </w:r>
    </w:p>
    <w:p w14:paraId="29C4F69C" w14:textId="77777777" w:rsidR="00970F0D" w:rsidRDefault="00970F0D" w:rsidP="002F1372">
      <w:pPr>
        <w:widowControl/>
        <w:spacing w:beforeAutospacing="1" w:after="300" w:line="360" w:lineRule="auto"/>
        <w:jc w:val="left"/>
      </w:pPr>
    </w:p>
    <w:p w14:paraId="043595D1" w14:textId="77777777" w:rsidR="00970F0D" w:rsidRDefault="00970F0D" w:rsidP="002F1372">
      <w:pPr>
        <w:spacing w:line="360" w:lineRule="auto"/>
        <w:rPr>
          <w:rFonts w:ascii="宋体" w:eastAsia="宋体" w:hAnsi="宋体" w:cs="宋体"/>
          <w:sz w:val="24"/>
        </w:rPr>
      </w:pPr>
    </w:p>
    <w:sectPr w:rsidR="00970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5981274"/>
    <w:rsid w:val="002F1372"/>
    <w:rsid w:val="00970F0D"/>
    <w:rsid w:val="2598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F2AD59"/>
  <w15:docId w15:val="{960511BE-654E-46B5-A719-F6B6849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小米</dc:creator>
  <cp:lastModifiedBy>zhao hu</cp:lastModifiedBy>
  <cp:revision>2</cp:revision>
  <dcterms:created xsi:type="dcterms:W3CDTF">2020-09-24T11:53:00Z</dcterms:created>
  <dcterms:modified xsi:type="dcterms:W3CDTF">2021-01-04T03:53:00Z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