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300" w:afterAutospacing="0"/>
        <w:ind w:left="0" w:right="0"/>
        <w:jc w:val="center"/>
        <w:rPr>
          <w:rFonts w:ascii="黑体" w:hAnsi="宋体" w:eastAsia="黑体" w:cs="黑体"/>
          <w:color w:val="004186"/>
          <w:sz w:val="30"/>
          <w:szCs w:val="30"/>
        </w:rPr>
      </w:pPr>
      <w:bookmarkStart w:id="0" w:name="_GoBack"/>
      <w:r>
        <w:rPr>
          <w:rFonts w:hint="eastAsia" w:ascii="黑体" w:hAnsi="宋体" w:eastAsia="黑体" w:cs="黑体"/>
          <w:i w:val="0"/>
          <w:caps w:val="0"/>
          <w:color w:val="004186"/>
          <w:spacing w:val="0"/>
          <w:sz w:val="30"/>
          <w:szCs w:val="30"/>
          <w:bdr w:val="none" w:color="auto" w:sz="0" w:space="0"/>
        </w:rPr>
        <w:t>青海省第三次全国农业普查主要数据公报（第三号）</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i w:val="0"/>
          <w:caps w:val="0"/>
          <w:color w:val="1C1C1C"/>
          <w:spacing w:val="0"/>
          <w:sz w:val="21"/>
          <w:szCs w:val="21"/>
          <w:bdr w:val="none" w:color="auto" w:sz="0" w:space="0"/>
        </w:rPr>
        <w:t>来源：农牧处 日期：2018-02-05 16:52:00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333333"/>
          <w:spacing w:val="0"/>
          <w:kern w:val="0"/>
          <w:sz w:val="24"/>
          <w:szCs w:val="24"/>
          <w:bdr w:val="none" w:color="auto" w:sz="0" w:space="0"/>
          <w:lang w:val="en-US" w:eastAsia="zh-CN" w:bidi="ar"/>
        </w:rPr>
        <w:t>青海省第三次全国农业普查领导小组办公室</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333333"/>
          <w:spacing w:val="0"/>
          <w:kern w:val="0"/>
          <w:sz w:val="24"/>
          <w:szCs w:val="24"/>
          <w:bdr w:val="none" w:color="auto" w:sz="0" w:space="0"/>
          <w:lang w:val="en-US" w:eastAsia="zh-CN" w:bidi="ar"/>
        </w:rPr>
        <w:t>青海省统计局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青海省第三次全国农业普查对全省366个乡镇和4284个村的基础设施建设和基本社会服务进行了调查，现将主要结果公布如下：</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b/>
          <w:i w:val="0"/>
          <w:caps w:val="0"/>
          <w:color w:val="000000"/>
          <w:spacing w:val="0"/>
          <w:kern w:val="0"/>
          <w:sz w:val="24"/>
          <w:szCs w:val="24"/>
          <w:bdr w:val="none" w:color="auto" w:sz="8" w:space="0"/>
          <w:lang w:val="en-US" w:eastAsia="zh-CN" w:bidi="ar"/>
        </w:rPr>
        <w:t>　　</w:t>
      </w:r>
      <w:r>
        <w:rPr>
          <w:rFonts w:hint="eastAsia" w:ascii="宋体" w:hAnsi="宋体" w:eastAsia="宋体" w:cs="宋体"/>
          <w:i w:val="0"/>
          <w:caps w:val="0"/>
          <w:color w:val="000000"/>
          <w:spacing w:val="0"/>
          <w:kern w:val="0"/>
          <w:sz w:val="24"/>
          <w:szCs w:val="24"/>
          <w:bdr w:val="none" w:color="auto" w:sz="8" w:space="0"/>
          <w:lang w:val="en-US" w:eastAsia="zh-CN" w:bidi="ar"/>
        </w:rPr>
        <w:t>一、交通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2"/>
        <w:jc w:val="left"/>
      </w:pPr>
      <w:r>
        <w:rPr>
          <w:rFonts w:hint="eastAsia" w:ascii="宋体" w:hAnsi="宋体" w:eastAsia="宋体" w:cs="宋体"/>
          <w:b/>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2016年末，在乡镇地域范围内有火车站的乡镇占全部乡镇的4.6%，有码头的占0.8%，有高速公路出入口的占18.9%。98.9%的村通公路，43.3%的村内主要道路有路灯。村委会到最远自然村、居民定居点距离以5公里以内为主。</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表1</w:t>
      </w:r>
      <w:r>
        <w:rPr>
          <w:rFonts w:hint="eastAsia" w:ascii="宋体" w:hAnsi="宋体" w:eastAsia="宋体" w:cs="宋体"/>
          <w:b/>
          <w:i w:val="0"/>
          <w:caps w:val="0"/>
          <w:color w:val="333333"/>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乡镇、村交通设施</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right"/>
      </w:pPr>
      <w:r>
        <w:rPr>
          <w:rFonts w:hint="eastAsia" w:ascii="宋体" w:hAnsi="宋体" w:eastAsia="宋体" w:cs="宋体"/>
          <w:i w:val="0"/>
          <w:caps w:val="0"/>
          <w:color w:val="000000"/>
          <w:spacing w:val="0"/>
          <w:kern w:val="0"/>
          <w:sz w:val="24"/>
          <w:szCs w:val="24"/>
          <w:bdr w:val="none" w:color="auto" w:sz="0" w:space="0"/>
          <w:lang w:val="en-US" w:eastAsia="zh-CN" w:bidi="ar"/>
        </w:rPr>
        <w:t>单位:%</w:t>
      </w:r>
    </w:p>
    <w:tbl>
      <w:tblPr>
        <w:tblW w:w="8324" w:type="dxa"/>
        <w:tblInd w:w="1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2966"/>
        <w:gridCol w:w="1135"/>
        <w:gridCol w:w="3119"/>
        <w:gridCol w:w="110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3" w:hRule="atLeast"/>
        </w:trPr>
        <w:tc>
          <w:tcPr>
            <w:tcW w:w="2967"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指标</w:t>
            </w:r>
          </w:p>
        </w:tc>
        <w:tc>
          <w:tcPr>
            <w:tcW w:w="1135" w:type="dxa"/>
            <w:tcBorders>
              <w:top w:val="single" w:color="auto" w:sz="12" w:space="0"/>
              <w:left w:val="nil"/>
              <w:bottom w:val="single" w:color="auto" w:sz="8" w:space="0"/>
              <w:right w:val="double" w:color="auto" w:sz="6"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120"/>
              <w:jc w:val="center"/>
            </w:pPr>
            <w:r>
              <w:rPr>
                <w:rFonts w:hint="eastAsia" w:ascii="宋体" w:hAnsi="宋体" w:eastAsia="宋体" w:cs="宋体"/>
                <w:color w:val="000000"/>
                <w:kern w:val="0"/>
                <w:sz w:val="24"/>
                <w:szCs w:val="24"/>
                <w:bdr w:val="none" w:color="auto" w:sz="0" w:space="0"/>
                <w:lang w:val="en-US" w:eastAsia="zh-CN" w:bidi="ar"/>
              </w:rPr>
              <w:t>全省</w:t>
            </w:r>
          </w:p>
        </w:tc>
        <w:tc>
          <w:tcPr>
            <w:tcW w:w="3119"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指标</w:t>
            </w:r>
          </w:p>
        </w:tc>
        <w:tc>
          <w:tcPr>
            <w:tcW w:w="1104" w:type="dxa"/>
            <w:tcBorders>
              <w:top w:val="single" w:color="auto" w:sz="12" w:space="0"/>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全省</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044" w:hRule="atLeast"/>
        </w:trPr>
        <w:tc>
          <w:tcPr>
            <w:tcW w:w="2967"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有火车站的乡镇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有码头的乡镇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高速公路出入口的乡镇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通公路的村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村内主要道路有路灯的村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按通村主要道路路面类型分的村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水泥路面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柏油路面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沙石路面</w:t>
            </w:r>
          </w:p>
        </w:tc>
        <w:tc>
          <w:tcPr>
            <w:tcW w:w="1135" w:type="dxa"/>
            <w:tcBorders>
              <w:top w:val="nil"/>
              <w:left w:val="nil"/>
              <w:bottom w:val="single" w:color="auto" w:sz="12" w:space="0"/>
              <w:right w:val="double" w:color="auto" w:sz="6"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4.6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0.8</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18.9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98.9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43.3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66.1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17.3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15.0</w:t>
            </w:r>
          </w:p>
        </w:tc>
        <w:tc>
          <w:tcPr>
            <w:tcW w:w="3119"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按村内主要道路路面类型分的村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水泥路面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柏油路面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沙石路面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村委会到最远自然村或居民定居点距离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5公里以内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6-10公里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11-20公里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    20公里以上</w:t>
            </w:r>
          </w:p>
        </w:tc>
        <w:tc>
          <w:tcPr>
            <w:tcW w:w="1104" w:type="dxa"/>
            <w:tcBorders>
              <w:top w:val="nil"/>
              <w:left w:val="nil"/>
              <w:bottom w:val="single" w:color="auto" w:sz="12" w:space="0"/>
              <w:right w:val="nil"/>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76.1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3.2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16.7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79.9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5.1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5.9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9.1</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　　</w:t>
      </w:r>
      <w:r>
        <w:rPr>
          <w:rFonts w:hint="eastAsia" w:ascii="宋体" w:hAnsi="宋体" w:eastAsia="宋体" w:cs="宋体"/>
          <w:i w:val="0"/>
          <w:caps w:val="0"/>
          <w:color w:val="000000"/>
          <w:spacing w:val="0"/>
          <w:kern w:val="0"/>
          <w:sz w:val="24"/>
          <w:szCs w:val="24"/>
          <w:bdr w:val="none" w:color="auto" w:sz="8" w:space="0"/>
          <w:lang w:val="en-US" w:eastAsia="zh-CN" w:bidi="ar"/>
        </w:rPr>
        <w:t>二、能源、通讯</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2016年末，98.1%的村通电，5.4%的村通天然气，98.0%的村通电话，29.2%的村安装了有线电视，50.1%的村通宽带互联网，15.4%的村有电子商务配送站点。</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表2  村能源、通讯设施</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单位:%</w:t>
      </w:r>
    </w:p>
    <w:tbl>
      <w:tblPr>
        <w:tblW w:w="6946" w:type="dxa"/>
        <w:tblInd w:w="852"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1984"/>
        <w:gridCol w:w="993"/>
        <w:gridCol w:w="2976"/>
        <w:gridCol w:w="993"/>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525" w:hRule="atLeast"/>
        </w:trPr>
        <w:tc>
          <w:tcPr>
            <w:tcW w:w="1984"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指标</w:t>
            </w:r>
          </w:p>
        </w:tc>
        <w:tc>
          <w:tcPr>
            <w:tcW w:w="993" w:type="dxa"/>
            <w:tcBorders>
              <w:top w:val="single" w:color="auto" w:sz="12" w:space="0"/>
              <w:left w:val="nil"/>
              <w:bottom w:val="single" w:color="auto" w:sz="8" w:space="0"/>
              <w:right w:val="double" w:color="auto" w:sz="6"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全省</w:t>
            </w:r>
          </w:p>
        </w:tc>
        <w:tc>
          <w:tcPr>
            <w:tcW w:w="2976"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指标</w:t>
            </w:r>
          </w:p>
        </w:tc>
        <w:tc>
          <w:tcPr>
            <w:tcW w:w="993" w:type="dxa"/>
            <w:tcBorders>
              <w:top w:val="single" w:color="auto" w:sz="12" w:space="0"/>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全省</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842" w:hRule="atLeast"/>
        </w:trPr>
        <w:tc>
          <w:tcPr>
            <w:tcW w:w="1984"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通电的村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通天然气的村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通电话的村</w:t>
            </w:r>
          </w:p>
        </w:tc>
        <w:tc>
          <w:tcPr>
            <w:tcW w:w="993" w:type="dxa"/>
            <w:tcBorders>
              <w:top w:val="nil"/>
              <w:left w:val="nil"/>
              <w:bottom w:val="single" w:color="auto" w:sz="12" w:space="0"/>
              <w:right w:val="double" w:color="auto" w:sz="6"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98.1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5.4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98.0</w:t>
            </w:r>
          </w:p>
        </w:tc>
        <w:tc>
          <w:tcPr>
            <w:tcW w:w="2976"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安装了有线电视的村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通宽带互联网的村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有电子商务配送站点的村</w:t>
            </w:r>
          </w:p>
        </w:tc>
        <w:tc>
          <w:tcPr>
            <w:tcW w:w="993" w:type="dxa"/>
            <w:tcBorders>
              <w:top w:val="nil"/>
              <w:left w:val="nil"/>
              <w:bottom w:val="single" w:color="auto" w:sz="12" w:space="0"/>
              <w:right w:val="nil"/>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29.2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50.1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right"/>
            </w:pPr>
            <w:r>
              <w:rPr>
                <w:rFonts w:hint="eastAsia" w:ascii="宋体" w:hAnsi="宋体" w:eastAsia="宋体" w:cs="宋体"/>
                <w:color w:val="000000"/>
                <w:kern w:val="0"/>
                <w:sz w:val="24"/>
                <w:szCs w:val="24"/>
                <w:bdr w:val="none" w:color="auto" w:sz="0" w:space="0"/>
                <w:lang w:val="en-US" w:eastAsia="zh-CN" w:bidi="ar"/>
              </w:rPr>
              <w:t>15.4</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588"/>
        <w:jc w:val="left"/>
      </w:pPr>
      <w:r>
        <w:rPr>
          <w:rFonts w:hint="eastAsia" w:ascii="宋体" w:hAnsi="宋体" w:eastAsia="宋体" w:cs="宋体"/>
          <w:i w:val="0"/>
          <w:caps w:val="0"/>
          <w:color w:val="000000"/>
          <w:spacing w:val="0"/>
          <w:kern w:val="0"/>
          <w:sz w:val="24"/>
          <w:szCs w:val="24"/>
          <w:bdr w:val="none" w:color="auto" w:sz="8" w:space="0"/>
          <w:lang w:val="en-US" w:eastAsia="zh-CN" w:bidi="ar"/>
        </w:rPr>
        <w:t>三、环境卫生</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72"/>
        <w:jc w:val="left"/>
      </w:pPr>
      <w:r>
        <w:rPr>
          <w:rFonts w:hint="eastAsia" w:ascii="宋体" w:hAnsi="宋体" w:eastAsia="宋体" w:cs="宋体"/>
          <w:b/>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2016年末，69.7%的乡镇生活垃圾集中处理或部分集中处理。47.8%的村生活垃圾集中处理或部分集中处理，10.9%的村生活污水集中处理或部分集中处理，34.7%的村完成或部分完成改厕。</w:t>
      </w:r>
    </w:p>
    <w:tbl>
      <w:tblPr>
        <w:tblW w:w="6947" w:type="dxa"/>
        <w:jc w:val="center"/>
        <w:shd w:val="clear"/>
        <w:tblLayout w:type="autofit"/>
        <w:tblCellMar>
          <w:top w:w="0" w:type="dxa"/>
          <w:left w:w="0" w:type="dxa"/>
          <w:bottom w:w="0" w:type="dxa"/>
          <w:right w:w="0" w:type="dxa"/>
        </w:tblCellMar>
      </w:tblPr>
      <w:tblGrid>
        <w:gridCol w:w="4451"/>
        <w:gridCol w:w="4071"/>
      </w:tblGrid>
      <w:tr>
        <w:tblPrEx>
          <w:shd w:val="clear"/>
          <w:tblCellMar>
            <w:top w:w="0" w:type="dxa"/>
            <w:left w:w="0" w:type="dxa"/>
            <w:bottom w:w="0" w:type="dxa"/>
            <w:right w:w="0" w:type="dxa"/>
          </w:tblCellMar>
        </w:tblPrEx>
        <w:trPr>
          <w:trHeight w:val="330" w:hRule="atLeast"/>
          <w:jc w:val="center"/>
        </w:trPr>
        <w:tc>
          <w:tcPr>
            <w:tcW w:w="4962" w:type="dxa"/>
            <w:tcBorders>
              <w:top w:val="nil"/>
              <w:left w:val="nil"/>
              <w:bottom w:val="single" w:color="auto" w:sz="12" w:space="0"/>
              <w:right w:val="nil"/>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b/>
                <w:color w:val="333333"/>
                <w:kern w:val="0"/>
                <w:sz w:val="24"/>
                <w:szCs w:val="24"/>
                <w:bdr w:val="none" w:color="auto" w:sz="0" w:space="0"/>
                <w:lang w:val="en-US" w:eastAsia="zh-CN" w:bidi="ar"/>
              </w:rPr>
              <w:t>         </w:t>
            </w:r>
            <w:r>
              <w:rPr>
                <w:rFonts w:hint="eastAsia" w:ascii="宋体" w:hAnsi="宋体" w:eastAsia="宋体" w:cs="宋体"/>
                <w:b/>
                <w:color w:val="333333"/>
                <w:kern w:val="0"/>
                <w:sz w:val="24"/>
                <w:szCs w:val="24"/>
                <w:bdr w:val="none" w:color="auto" w:sz="8" w:space="0"/>
                <w:lang w:val="en-US" w:eastAsia="zh-CN" w:bidi="ar"/>
              </w:rPr>
              <w:t>表</w:t>
            </w:r>
            <w:r>
              <w:rPr>
                <w:rFonts w:hint="eastAsia" w:ascii="宋体" w:hAnsi="宋体" w:eastAsia="宋体" w:cs="宋体"/>
                <w:b/>
                <w:color w:val="333333"/>
                <w:kern w:val="0"/>
                <w:sz w:val="24"/>
                <w:szCs w:val="24"/>
                <w:bdr w:val="none" w:color="auto" w:sz="0" w:space="0"/>
                <w:lang w:val="en-US" w:eastAsia="zh-CN" w:bidi="ar"/>
              </w:rPr>
              <w:t>3 </w:t>
            </w:r>
            <w:r>
              <w:rPr>
                <w:rFonts w:hint="eastAsia" w:ascii="宋体" w:hAnsi="宋体" w:eastAsia="宋体" w:cs="宋体"/>
                <w:b/>
                <w:color w:val="333333"/>
                <w:kern w:val="0"/>
                <w:sz w:val="24"/>
                <w:szCs w:val="24"/>
                <w:bdr w:val="none" w:color="auto" w:sz="8" w:space="0"/>
                <w:lang w:val="en-US" w:eastAsia="zh-CN" w:bidi="ar"/>
              </w:rPr>
              <w:t>乡镇、村卫生处理</w:t>
            </w:r>
          </w:p>
        </w:tc>
        <w:tc>
          <w:tcPr>
            <w:tcW w:w="1985" w:type="dxa"/>
            <w:tcBorders>
              <w:top w:val="nil"/>
              <w:left w:val="nil"/>
              <w:bottom w:val="single" w:color="auto" w:sz="12" w:space="0"/>
              <w:right w:val="nil"/>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                 单位:%</w:t>
            </w:r>
          </w:p>
        </w:tc>
      </w:tr>
      <w:tr>
        <w:tblPrEx>
          <w:shd w:val="clear"/>
          <w:tblCellMar>
            <w:top w:w="0" w:type="dxa"/>
            <w:left w:w="0" w:type="dxa"/>
            <w:bottom w:w="0" w:type="dxa"/>
            <w:right w:w="0" w:type="dxa"/>
          </w:tblCellMar>
        </w:tblPrEx>
        <w:trPr>
          <w:trHeight w:val="313" w:hRule="atLeast"/>
          <w:jc w:val="center"/>
        </w:trPr>
        <w:tc>
          <w:tcPr>
            <w:tcW w:w="4962" w:type="dxa"/>
            <w:tcBorders>
              <w:top w:val="nil"/>
              <w:left w:val="nil"/>
              <w:bottom w:val="single" w:color="auto" w:sz="8" w:space="0"/>
              <w:right w:val="single" w:color="auto" w:sz="8" w:space="0"/>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指标</w:t>
            </w:r>
          </w:p>
        </w:tc>
        <w:tc>
          <w:tcPr>
            <w:tcW w:w="1985" w:type="dxa"/>
            <w:tcBorders>
              <w:top w:val="nil"/>
              <w:left w:val="nil"/>
              <w:bottom w:val="single" w:color="auto" w:sz="8" w:space="0"/>
              <w:right w:val="nil"/>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全省</w:t>
            </w:r>
          </w:p>
        </w:tc>
      </w:tr>
      <w:tr>
        <w:tblPrEx>
          <w:tblCellMar>
            <w:top w:w="0" w:type="dxa"/>
            <w:left w:w="0" w:type="dxa"/>
            <w:bottom w:w="0" w:type="dxa"/>
            <w:right w:w="0" w:type="dxa"/>
          </w:tblCellMar>
        </w:tblPrEx>
        <w:trPr>
          <w:trHeight w:val="297" w:hRule="atLeast"/>
          <w:jc w:val="center"/>
        </w:trPr>
        <w:tc>
          <w:tcPr>
            <w:tcW w:w="4962" w:type="dxa"/>
            <w:tcBorders>
              <w:top w:val="nil"/>
              <w:left w:val="nil"/>
              <w:bottom w:val="nil"/>
              <w:right w:val="single" w:color="auto" w:sz="8" w:space="0"/>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有生活垃圾处理的乡镇或部分集中处理</w:t>
            </w:r>
          </w:p>
        </w:tc>
        <w:tc>
          <w:tcPr>
            <w:tcW w:w="1985" w:type="dxa"/>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69.7</w:t>
            </w:r>
          </w:p>
        </w:tc>
      </w:tr>
      <w:tr>
        <w:tblPrEx>
          <w:tblCellMar>
            <w:top w:w="0" w:type="dxa"/>
            <w:left w:w="0" w:type="dxa"/>
            <w:bottom w:w="0" w:type="dxa"/>
            <w:right w:w="0" w:type="dxa"/>
          </w:tblCellMar>
        </w:tblPrEx>
        <w:trPr>
          <w:trHeight w:val="297" w:hRule="atLeast"/>
          <w:jc w:val="center"/>
        </w:trPr>
        <w:tc>
          <w:tcPr>
            <w:tcW w:w="4962" w:type="dxa"/>
            <w:tcBorders>
              <w:top w:val="nil"/>
              <w:left w:val="nil"/>
              <w:bottom w:val="nil"/>
              <w:right w:val="single" w:color="auto" w:sz="8" w:space="0"/>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实施生活垃圾集中处理的村或部分集中处理</w:t>
            </w:r>
          </w:p>
        </w:tc>
        <w:tc>
          <w:tcPr>
            <w:tcW w:w="1985" w:type="dxa"/>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47.8</w:t>
            </w:r>
          </w:p>
        </w:tc>
      </w:tr>
      <w:tr>
        <w:tblPrEx>
          <w:shd w:val="clear"/>
          <w:tblCellMar>
            <w:top w:w="0" w:type="dxa"/>
            <w:left w:w="0" w:type="dxa"/>
            <w:bottom w:w="0" w:type="dxa"/>
            <w:right w:w="0" w:type="dxa"/>
          </w:tblCellMar>
        </w:tblPrEx>
        <w:trPr>
          <w:trHeight w:val="297" w:hRule="atLeast"/>
          <w:jc w:val="center"/>
        </w:trPr>
        <w:tc>
          <w:tcPr>
            <w:tcW w:w="4962" w:type="dxa"/>
            <w:tcBorders>
              <w:top w:val="nil"/>
              <w:left w:val="nil"/>
              <w:bottom w:val="nil"/>
              <w:right w:val="single" w:color="auto" w:sz="8" w:space="0"/>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实施生活污水集中处理的村或部分集中处理</w:t>
            </w:r>
          </w:p>
        </w:tc>
        <w:tc>
          <w:tcPr>
            <w:tcW w:w="1985" w:type="dxa"/>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10.9</w:t>
            </w:r>
          </w:p>
        </w:tc>
      </w:tr>
      <w:tr>
        <w:tblPrEx>
          <w:shd w:val="clear"/>
          <w:tblCellMar>
            <w:top w:w="0" w:type="dxa"/>
            <w:left w:w="0" w:type="dxa"/>
            <w:bottom w:w="0" w:type="dxa"/>
            <w:right w:w="0" w:type="dxa"/>
          </w:tblCellMar>
        </w:tblPrEx>
        <w:trPr>
          <w:trHeight w:val="342" w:hRule="atLeast"/>
          <w:jc w:val="center"/>
        </w:trPr>
        <w:tc>
          <w:tcPr>
            <w:tcW w:w="4962" w:type="dxa"/>
            <w:tcBorders>
              <w:top w:val="nil"/>
              <w:left w:val="nil"/>
              <w:bottom w:val="single" w:color="auto" w:sz="18" w:space="0"/>
              <w:right w:val="single" w:color="auto" w:sz="8" w:space="0"/>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完成改厕的村或部分完成改厕</w:t>
            </w:r>
          </w:p>
        </w:tc>
        <w:tc>
          <w:tcPr>
            <w:tcW w:w="1985" w:type="dxa"/>
            <w:tcBorders>
              <w:top w:val="nil"/>
              <w:left w:val="nil"/>
              <w:bottom w:val="single" w:color="auto" w:sz="18" w:space="0"/>
              <w:right w:val="nil"/>
            </w:tcBorders>
            <w:shd w:val="clear"/>
            <w:noWrap/>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34.7</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　　</w:t>
      </w:r>
      <w:r>
        <w:rPr>
          <w:rFonts w:hint="eastAsia" w:ascii="宋体" w:hAnsi="宋体" w:eastAsia="宋体" w:cs="宋体"/>
          <w:i w:val="0"/>
          <w:caps w:val="0"/>
          <w:color w:val="000000"/>
          <w:spacing w:val="0"/>
          <w:kern w:val="0"/>
          <w:sz w:val="24"/>
          <w:szCs w:val="24"/>
          <w:bdr w:val="none" w:color="auto" w:sz="8" w:space="0"/>
          <w:lang w:val="en-US" w:eastAsia="zh-CN" w:bidi="ar"/>
        </w:rPr>
        <w:t>四、文化教育</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b/>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　　2016年末，84.4%的乡镇有幼儿园、托儿所，94.3%的乡镇有小学，81.7%的乡镇有图书馆、文化站，4.6%的乡镇有剧场、影剧院，14.2%的乡镇有体育场馆，42.1%的乡镇有公园及休闲健身广场。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　　26.6%的村有幼儿园、托儿所，45.4%的村有体育健身场所，24.0%的村有农民业余文化组织。</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000000"/>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表4  乡镇、村文化教育设施</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000000"/>
          <w:spacing w:val="0"/>
          <w:kern w:val="0"/>
          <w:sz w:val="24"/>
          <w:szCs w:val="24"/>
          <w:bdr w:val="none" w:color="auto" w:sz="0" w:space="0"/>
          <w:lang w:val="en-US" w:eastAsia="zh-CN" w:bidi="ar"/>
        </w:rPr>
        <w:t>单位:%</w:t>
      </w:r>
    </w:p>
    <w:tbl>
      <w:tblPr>
        <w:tblW w:w="8070" w:type="dxa"/>
        <w:tblInd w:w="1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2966"/>
        <w:gridCol w:w="851"/>
        <w:gridCol w:w="3403"/>
        <w:gridCol w:w="85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473" w:hRule="atLeast"/>
        </w:trPr>
        <w:tc>
          <w:tcPr>
            <w:tcW w:w="2967"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指标</w:t>
            </w:r>
          </w:p>
        </w:tc>
        <w:tc>
          <w:tcPr>
            <w:tcW w:w="851" w:type="dxa"/>
            <w:tcBorders>
              <w:top w:val="single" w:color="auto" w:sz="12" w:space="0"/>
              <w:left w:val="nil"/>
              <w:bottom w:val="single" w:color="auto" w:sz="8" w:space="0"/>
              <w:right w:val="double" w:color="auto" w:sz="6"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全省</w:t>
            </w:r>
          </w:p>
        </w:tc>
        <w:tc>
          <w:tcPr>
            <w:tcW w:w="3404"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600"/>
              <w:jc w:val="left"/>
            </w:pPr>
            <w:r>
              <w:rPr>
                <w:rFonts w:hint="eastAsia" w:ascii="宋体" w:hAnsi="宋体" w:eastAsia="宋体" w:cs="宋体"/>
                <w:color w:val="000000"/>
                <w:kern w:val="0"/>
                <w:sz w:val="24"/>
                <w:szCs w:val="24"/>
                <w:bdr w:val="none" w:color="auto" w:sz="0" w:space="0"/>
                <w:lang w:val="en-US" w:eastAsia="zh-CN" w:bidi="ar"/>
              </w:rPr>
              <w:t>指标</w:t>
            </w:r>
          </w:p>
        </w:tc>
        <w:tc>
          <w:tcPr>
            <w:tcW w:w="850" w:type="dxa"/>
            <w:tcBorders>
              <w:top w:val="single" w:color="auto" w:sz="12" w:space="0"/>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全省</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1544" w:hRule="atLeast"/>
        </w:trPr>
        <w:tc>
          <w:tcPr>
            <w:tcW w:w="2967"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有幼儿园、托儿所的乡镇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有小学的乡镇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有图书馆、文化站的乡镇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有剧场、影剧院的乡镇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有体育场馆的乡镇</w:t>
            </w:r>
          </w:p>
        </w:tc>
        <w:tc>
          <w:tcPr>
            <w:tcW w:w="851" w:type="dxa"/>
            <w:tcBorders>
              <w:top w:val="nil"/>
              <w:left w:val="nil"/>
              <w:bottom w:val="single" w:color="auto" w:sz="12" w:space="0"/>
              <w:right w:val="double" w:color="auto" w:sz="6"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84.4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94.3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81.7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14.2</w:t>
            </w:r>
          </w:p>
        </w:tc>
        <w:tc>
          <w:tcPr>
            <w:tcW w:w="3404"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有公园及休闲健身广场的乡镇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有幼儿园、托儿所的村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有体育健身场所的村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有农民业余文化组织的村</w:t>
            </w:r>
          </w:p>
        </w:tc>
        <w:tc>
          <w:tcPr>
            <w:tcW w:w="850" w:type="dxa"/>
            <w:tcBorders>
              <w:top w:val="nil"/>
              <w:left w:val="nil"/>
              <w:bottom w:val="single" w:color="auto" w:sz="12" w:space="0"/>
              <w:right w:val="nil"/>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42.1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26.6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45.4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right"/>
            </w:pPr>
            <w:r>
              <w:rPr>
                <w:rFonts w:hint="eastAsia" w:ascii="宋体" w:hAnsi="宋体" w:eastAsia="宋体" w:cs="宋体"/>
                <w:color w:val="000000"/>
                <w:kern w:val="0"/>
                <w:sz w:val="24"/>
                <w:szCs w:val="24"/>
                <w:bdr w:val="none" w:color="auto" w:sz="0" w:space="0"/>
                <w:lang w:val="en-US" w:eastAsia="zh-CN" w:bidi="ar"/>
              </w:rPr>
              <w:t>24.0</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333333"/>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600"/>
        <w:jc w:val="left"/>
      </w:pPr>
      <w:r>
        <w:rPr>
          <w:rFonts w:hint="eastAsia" w:ascii="宋体" w:hAnsi="宋体" w:eastAsia="宋体" w:cs="宋体"/>
          <w:i w:val="0"/>
          <w:caps w:val="0"/>
          <w:color w:val="000000"/>
          <w:spacing w:val="0"/>
          <w:kern w:val="0"/>
          <w:sz w:val="24"/>
          <w:szCs w:val="24"/>
          <w:bdr w:val="none" w:color="auto" w:sz="8" w:space="0"/>
          <w:lang w:val="en-US" w:eastAsia="zh-CN" w:bidi="ar"/>
        </w:rPr>
        <w:t>五、医疗和社会福利机构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b/>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　　2016年末，100.0%的乡镇有医疗卫生机构，94.0%的乡镇有执业（助理）医师，29.0%的乡镇有社会福利收养性单位，15.9%的乡镇有本级政府创办的敬老院。</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　　81.7%的村有卫生室，52.7%的村有执业（助理）医师。</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表5 </w:t>
      </w:r>
      <w:r>
        <w:rPr>
          <w:rFonts w:hint="eastAsia" w:ascii="宋体" w:hAnsi="宋体" w:eastAsia="宋体" w:cs="宋体"/>
          <w:b/>
          <w:i w:val="0"/>
          <w:caps w:val="0"/>
          <w:color w:val="333333"/>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乡镇、村医疗和社会福利机构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000000"/>
          <w:spacing w:val="0"/>
          <w:kern w:val="0"/>
          <w:sz w:val="24"/>
          <w:szCs w:val="24"/>
          <w:bdr w:val="none" w:color="auto" w:sz="0" w:space="0"/>
          <w:lang w:val="en-US" w:eastAsia="zh-CN" w:bidi="ar"/>
        </w:rPr>
        <w:t>单位:%</w:t>
      </w:r>
    </w:p>
    <w:tbl>
      <w:tblPr>
        <w:tblW w:w="0" w:type="dxa"/>
        <w:tblInd w:w="142"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3370"/>
        <w:gridCol w:w="816"/>
        <w:gridCol w:w="3260"/>
        <w:gridCol w:w="709"/>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473" w:hRule="atLeast"/>
        </w:trPr>
        <w:tc>
          <w:tcPr>
            <w:tcW w:w="3370"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指标</w:t>
            </w:r>
          </w:p>
        </w:tc>
        <w:tc>
          <w:tcPr>
            <w:tcW w:w="741" w:type="dxa"/>
            <w:tcBorders>
              <w:top w:val="single" w:color="auto" w:sz="12" w:space="0"/>
              <w:left w:val="nil"/>
              <w:bottom w:val="single" w:color="auto" w:sz="8" w:space="0"/>
              <w:right w:val="double" w:color="auto" w:sz="6"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全省</w:t>
            </w:r>
          </w:p>
        </w:tc>
        <w:tc>
          <w:tcPr>
            <w:tcW w:w="3260"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指标</w:t>
            </w:r>
          </w:p>
        </w:tc>
        <w:tc>
          <w:tcPr>
            <w:tcW w:w="709" w:type="dxa"/>
            <w:tcBorders>
              <w:top w:val="single" w:color="auto" w:sz="12" w:space="0"/>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全省</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784" w:hRule="atLeast"/>
        </w:trPr>
        <w:tc>
          <w:tcPr>
            <w:tcW w:w="3370"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有医疗卫生机构的乡镇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有执业(助理)医师的乡镇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有社会福利收养性单位的乡镇</w:t>
            </w:r>
          </w:p>
        </w:tc>
        <w:tc>
          <w:tcPr>
            <w:tcW w:w="741" w:type="dxa"/>
            <w:tcBorders>
              <w:top w:val="nil"/>
              <w:left w:val="nil"/>
              <w:bottom w:val="single" w:color="auto" w:sz="12" w:space="0"/>
              <w:right w:val="double" w:color="auto" w:sz="6"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100.0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94.0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29.0</w:t>
            </w:r>
          </w:p>
        </w:tc>
        <w:tc>
          <w:tcPr>
            <w:tcW w:w="3260"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有本级政府创办的敬老院的乡镇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有卫生室的村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有执业(助理)医师的村</w:t>
            </w:r>
          </w:p>
        </w:tc>
        <w:tc>
          <w:tcPr>
            <w:tcW w:w="709" w:type="dxa"/>
            <w:tcBorders>
              <w:top w:val="nil"/>
              <w:left w:val="nil"/>
              <w:bottom w:val="single" w:color="auto" w:sz="12" w:space="0"/>
              <w:right w:val="nil"/>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15.9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81.7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52.7</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b/>
          <w:i w:val="0"/>
          <w:caps w:val="0"/>
          <w:color w:val="333333"/>
          <w:spacing w:val="0"/>
          <w:kern w:val="0"/>
          <w:sz w:val="24"/>
          <w:szCs w:val="24"/>
          <w:bdr w:val="none" w:color="auto" w:sz="8" w:space="0"/>
          <w:lang w:val="en-US" w:eastAsia="zh-CN" w:bidi="ar"/>
        </w:rPr>
        <w:t>　　</w:t>
      </w:r>
      <w:r>
        <w:rPr>
          <w:rFonts w:hint="eastAsia" w:ascii="宋体" w:hAnsi="宋体" w:eastAsia="宋体" w:cs="宋体"/>
          <w:b/>
          <w:i w:val="0"/>
          <w:caps w:val="0"/>
          <w:color w:val="333333"/>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8" w:space="0"/>
          <w:lang w:val="en-US" w:eastAsia="zh-CN" w:bidi="ar"/>
        </w:rPr>
        <w:t>六、市场建设</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b/>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　　2016年末，27.0%的乡镇有商品交易市场，14.5%的乡镇有以粮油、蔬菜、水果为主的专业市场，3.6%的乡镇有以畜禽为主的专业市场，0.3%的乡镇有以水产为主的专业市场。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000000"/>
          <w:spacing w:val="0"/>
          <w:kern w:val="0"/>
          <w:sz w:val="24"/>
          <w:szCs w:val="24"/>
          <w:bdr w:val="none" w:color="auto" w:sz="0" w:space="0"/>
          <w:lang w:val="en-US" w:eastAsia="zh-CN" w:bidi="ar"/>
        </w:rPr>
        <w:t>　　24.3%的村有50平方米以上的综合商店或超市，7.8%的村开展旅游接待服务，25.8%的村有营业执照的餐馆。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333333"/>
          <w:spacing w:val="0"/>
          <w:kern w:val="0"/>
          <w:sz w:val="24"/>
          <w:szCs w:val="24"/>
          <w:bdr w:val="none" w:color="auto" w:sz="8" w:space="0"/>
          <w:lang w:val="en-US" w:eastAsia="zh-CN" w:bidi="ar"/>
        </w:rPr>
        <w:t>表6  乡镇、村市场</w:t>
      </w:r>
    </w:p>
    <w:tbl>
      <w:tblPr>
        <w:tblW w:w="8306"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4962"/>
        <w:gridCol w:w="787"/>
        <w:gridCol w:w="914"/>
        <w:gridCol w:w="1643"/>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473" w:hRule="atLeast"/>
          <w:jc w:val="center"/>
        </w:trPr>
        <w:tc>
          <w:tcPr>
            <w:tcW w:w="4962"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指  标</w:t>
            </w:r>
          </w:p>
        </w:tc>
        <w:tc>
          <w:tcPr>
            <w:tcW w:w="787" w:type="dxa"/>
            <w:tcBorders>
              <w:top w:val="single" w:color="auto" w:sz="12" w:space="0"/>
              <w:left w:val="nil"/>
              <w:bottom w:val="single" w:color="auto" w:sz="8" w:space="0"/>
              <w:right w:val="nil"/>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 </w:t>
            </w:r>
          </w:p>
        </w:tc>
        <w:tc>
          <w:tcPr>
            <w:tcW w:w="914" w:type="dxa"/>
            <w:tcBorders>
              <w:top w:val="single" w:color="auto" w:sz="12" w:space="0"/>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单位</w:t>
            </w:r>
          </w:p>
        </w:tc>
        <w:tc>
          <w:tcPr>
            <w:tcW w:w="1643" w:type="dxa"/>
            <w:tcBorders>
              <w:top w:val="single" w:color="auto" w:sz="12" w:space="0"/>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全省</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327" w:hRule="atLeast"/>
          <w:jc w:val="center"/>
        </w:trPr>
        <w:tc>
          <w:tcPr>
            <w:tcW w:w="4962"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有商品交易市场的乡镇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有以粮油、蔬菜、水果为主的专业市场的乡镇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有以畜禽为主的专业市场的乡镇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有以水产为主的专业市场的乡镇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有50平方米以上的综合商店或超市的村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开展旅游接待服务的村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color w:val="000000"/>
                <w:kern w:val="0"/>
                <w:sz w:val="24"/>
                <w:szCs w:val="24"/>
                <w:bdr w:val="none" w:color="auto" w:sz="0" w:space="0"/>
                <w:lang w:val="en-US" w:eastAsia="zh-CN" w:bidi="ar"/>
              </w:rPr>
              <w:t>有营业执照的餐馆的村</w:t>
            </w:r>
          </w:p>
        </w:tc>
        <w:tc>
          <w:tcPr>
            <w:tcW w:w="787" w:type="dxa"/>
            <w:tcBorders>
              <w:top w:val="nil"/>
              <w:left w:val="nil"/>
              <w:bottom w:val="single" w:color="auto" w:sz="12" w:space="0"/>
              <w:right w:val="nil"/>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 </w:t>
            </w:r>
          </w:p>
        </w:tc>
        <w:tc>
          <w:tcPr>
            <w:tcW w:w="914" w:type="dxa"/>
            <w:tcBorders>
              <w:top w:val="nil"/>
              <w:left w:val="nil"/>
              <w:bottom w:val="single" w:color="auto" w:sz="12"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1643" w:type="dxa"/>
            <w:tcBorders>
              <w:top w:val="nil"/>
              <w:left w:val="nil"/>
              <w:bottom w:val="single" w:color="auto" w:sz="12" w:space="0"/>
              <w:right w:val="nil"/>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center"/>
            </w:pPr>
            <w:r>
              <w:rPr>
                <w:rFonts w:hint="eastAsia" w:ascii="宋体" w:hAnsi="宋体" w:eastAsia="宋体" w:cs="宋体"/>
                <w:color w:val="000000"/>
                <w:kern w:val="0"/>
                <w:sz w:val="24"/>
                <w:szCs w:val="24"/>
                <w:bdr w:val="none" w:color="auto" w:sz="0" w:space="0"/>
                <w:lang w:val="en-US" w:eastAsia="zh-CN" w:bidi="ar"/>
              </w:rPr>
              <w:t>27.0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center"/>
            </w:pPr>
            <w:r>
              <w:rPr>
                <w:rFonts w:hint="eastAsia" w:ascii="宋体" w:hAnsi="宋体" w:eastAsia="宋体" w:cs="宋体"/>
                <w:color w:val="000000"/>
                <w:kern w:val="0"/>
                <w:sz w:val="24"/>
                <w:szCs w:val="24"/>
                <w:bdr w:val="none" w:color="auto" w:sz="0" w:space="0"/>
                <w:lang w:val="en-US" w:eastAsia="zh-CN" w:bidi="ar"/>
              </w:rPr>
              <w:t>14.5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center"/>
            </w:pPr>
            <w:r>
              <w:rPr>
                <w:rFonts w:hint="eastAsia" w:ascii="宋体" w:hAnsi="宋体" w:eastAsia="宋体" w:cs="宋体"/>
                <w:color w:val="000000"/>
                <w:kern w:val="0"/>
                <w:sz w:val="24"/>
                <w:szCs w:val="24"/>
                <w:bdr w:val="none" w:color="auto" w:sz="0" w:space="0"/>
                <w:lang w:val="en-US" w:eastAsia="zh-CN" w:bidi="ar"/>
              </w:rPr>
              <w:t>3.6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center"/>
            </w:pPr>
            <w:r>
              <w:rPr>
                <w:rFonts w:hint="eastAsia" w:ascii="宋体" w:hAnsi="宋体" w:eastAsia="宋体" w:cs="宋体"/>
                <w:color w:val="000000"/>
                <w:kern w:val="0"/>
                <w:sz w:val="24"/>
                <w:szCs w:val="24"/>
                <w:bdr w:val="none" w:color="auto" w:sz="0" w:space="0"/>
                <w:lang w:val="en-US" w:eastAsia="zh-CN" w:bidi="ar"/>
              </w:rPr>
              <w:t>0.3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center"/>
            </w:pPr>
            <w:r>
              <w:rPr>
                <w:rFonts w:hint="eastAsia" w:ascii="宋体" w:hAnsi="宋体" w:eastAsia="宋体" w:cs="宋体"/>
                <w:color w:val="000000"/>
                <w:kern w:val="0"/>
                <w:sz w:val="24"/>
                <w:szCs w:val="24"/>
                <w:bdr w:val="none" w:color="auto" w:sz="0" w:space="0"/>
                <w:lang w:val="en-US" w:eastAsia="zh-CN" w:bidi="ar"/>
              </w:rPr>
              <w:t>24.3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center"/>
            </w:pPr>
            <w:r>
              <w:rPr>
                <w:rFonts w:hint="eastAsia" w:ascii="宋体" w:hAnsi="宋体" w:eastAsia="宋体" w:cs="宋体"/>
                <w:color w:val="000000"/>
                <w:kern w:val="0"/>
                <w:sz w:val="24"/>
                <w:szCs w:val="24"/>
                <w:bdr w:val="none" w:color="auto" w:sz="0" w:space="0"/>
                <w:lang w:val="en-US" w:eastAsia="zh-CN" w:bidi="ar"/>
              </w:rPr>
              <w:t>7.8</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240"/>
              <w:jc w:val="center"/>
            </w:pPr>
            <w:r>
              <w:rPr>
                <w:rFonts w:hint="eastAsia" w:ascii="宋体" w:hAnsi="宋体" w:eastAsia="宋体" w:cs="宋体"/>
                <w:color w:val="000000"/>
                <w:kern w:val="0"/>
                <w:sz w:val="24"/>
                <w:szCs w:val="24"/>
                <w:bdr w:val="none" w:color="auto" w:sz="0" w:space="0"/>
                <w:lang w:val="en-US" w:eastAsia="zh-CN" w:bidi="ar"/>
              </w:rPr>
              <w:t>25.8</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left"/>
      </w:pPr>
      <w:r>
        <w:rPr>
          <w:rFonts w:hint="eastAsia" w:ascii="宋体" w:hAnsi="宋体" w:eastAsia="宋体" w:cs="宋体"/>
          <w:i w:val="0"/>
          <w:caps w:val="0"/>
          <w:color w:val="333333"/>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注：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1.乡镇：指行政建制是乡、镇，包括重点镇、非重点镇和乡。不包括街道办事处和具有乡镇政府职能的农林牧渔场等管理机构。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2.村：指村民委员会和涉农居民委员会所辖地域。</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3.村内主要道路有路灯的村：指本村地域内的主要道路由村集体或其他单位统一组织安装了路灯。道路两旁由住户零星安装在门前的灯不包括在内。</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4.有电子商务配送站点的村：指本村地域内有为网上购物等新型商品交易模式服务的配送站点。</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5.生活垃圾集中处理或部分集中处理的村：指本村地域内有垃圾处理设施进行垃圾集中处理，或者虽然没有垃圾处理设施，但是对垃圾实行统一集中清运处理。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6.完成或部分完成改厕的村：指本村地域内完成或部分完成了露天粪缸、粪坑、旱厕、简易厕所的改造，大多数或全部居民使用带有化粪池、沼气池或三隔池厕所，部分居民使用公共厕所或其他村里指定的定点场所作为倾倒粪便的场所。</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7.有社会福利收养性单位的乡镇：指在乡镇辖区内提供食宿、不以盈利为目的的伤残革命军人休养院、复退军人慢性病疗养院、复退军人精神病院、光荣院、社会福利院、儿童福利院、精神病福利院、老年收养性机构（敬老院、养老院、老年公寓）等收养性的社会福利事业单位的乡镇。</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8.有卫生室的村：指在本村地域内，经县级以上医疗主管部门许可，由各种经济组织和个人创办的卫生室（所、站）。卫生室（所、站）需要拥有固定经营场所，主要从事医疗卫生活动。不包括专业的牙医室，以及主要从事药品销售活动的单位。</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9.开展旅游接待服务的村：指有营业执照，在本村地域内从事旅游接待、餐饮和住宿等服务的居民户。包括提供茶馆、酒馆、乡村旅店、农家乐等活动的居民户。</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10.有商品交易市场的乡镇：指在乡镇辖区内经有关部门和组织批准设立，有固定场所、设施，有经营管理部门和监管人员，若干市场经营者入内，常年或实际开业三个月以上，集中、公开、独立地进行生活消费品、生产资料等现货商品交易以及提供相关服务的交易场所，包括各类消费品市场、生产资料市场等的乡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2B5AD0"/>
    <w:rsid w:val="452B5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2020-10-07T17:40:00Z</dcterms:created>
  <dc:creator> </dc:creator>
  <cp:lastModifiedBy> </cp:lastModifiedBy>
  <dcterms:modified xsi:type="dcterms:W3CDTF">2020-10-07T17:41:11Z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