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20"/>
        <w:rPr>
          <w:rFonts w:hint="eastAsia"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青藏高原生态保护和农牧业调控区划</w:t>
      </w:r>
    </w:p>
    <w:p>
      <w:pPr>
        <w:spacing w:line="360" w:lineRule="auto"/>
        <w:ind w:firstLine="420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Times New Roman"/>
          <w:sz w:val="24"/>
          <w:szCs w:val="24"/>
        </w:rPr>
        <w:t>（吕昌河、刘亚群）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农业调控分区的目的是，围绕区域的生态保护目标，确定农牧业发展方向和管控措施，因此，在分区时，将生态保护优先作为首选原则，即，根据国家对青藏高原的定位，农牧业发展应该在优先考虑生态保护的基础上，适度发展。主</w:t>
      </w:r>
      <w:bookmarkStart w:id="0" w:name="_GoBack"/>
      <w:bookmarkEnd w:id="0"/>
      <w:r>
        <w:rPr>
          <w:rFonts w:hint="eastAsia" w:ascii="仿宋_GB2312" w:eastAsia="仿宋_GB2312"/>
          <w:color w:val="0D0D0D"/>
          <w:sz w:val="28"/>
          <w:szCs w:val="28"/>
        </w:rPr>
        <w:t>要考虑的保护指标包括野生动物保护、珍惜树种保护、水源地和湿地保护、水土保持等，在区域划分时，主要根据国家和地方划定的保护区界限，如三江源保护区、藏北高原野生动物保护区、青海湖保护区、祁连山保护区、黑颈鹤保护区等确定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第二，农牧业发展方向的一致性原则。考虑农业发展现状、土地的适宜性和农林牧业的主导发展方向，确定调控分区。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第三，区域完整性原则。除区划单元保证在空间上的完整性外，为便于管理和实施，我们基本保持了乡界的完整，在差异不是特别显著的地区，尽量保持县界的完整。区域划分基本是以乡、镇为最基本的单元，考虑土地利用现状和农牧业发展方向、自然条件等因素，通过综合自下而上进行归类合并的结果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第四，主导因素和综合性原则。在区域划分时，将生态保护和农牧业的主导利用方向作为主要划分指标，同时考虑农牧业结构的一致性进行划分。</w:t>
      </w:r>
    </w:p>
    <w:p>
      <w:pPr>
        <w:autoSpaceDE w:val="0"/>
        <w:autoSpaceDN w:val="0"/>
        <w:adjustRightInd w:val="0"/>
        <w:ind w:firstLine="560" w:firstLineChars="20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第五，实用性原则。分区目的是为了农业管控，因此，区划层级应尽量简化，区域命名应尽量突出关键目标。为此，我们</w:t>
      </w:r>
      <w:r>
        <w:rPr>
          <w:rFonts w:ascii="仿宋_GB2312" w:eastAsia="仿宋_GB2312"/>
          <w:color w:val="0D0D0D"/>
          <w:sz w:val="28"/>
          <w:szCs w:val="28"/>
        </w:rPr>
        <w:t>将青藏高原划分为8个区和23个小区</w:t>
      </w:r>
      <w:r>
        <w:rPr>
          <w:rFonts w:hint="eastAsia" w:ascii="仿宋_GB2312" w:eastAsia="仿宋_GB2312"/>
          <w:color w:val="0D0D0D"/>
          <w:sz w:val="28"/>
          <w:szCs w:val="28"/>
        </w:rPr>
        <w:t>。</w:t>
      </w:r>
      <w:r>
        <w:rPr>
          <w:rFonts w:ascii="仿宋_GB2312" w:eastAsia="仿宋_GB2312"/>
          <w:color w:val="0D0D0D"/>
          <w:sz w:val="28"/>
          <w:szCs w:val="28"/>
        </w:rPr>
        <w:t>分区命名</w:t>
      </w:r>
      <w:r>
        <w:rPr>
          <w:rFonts w:hint="eastAsia" w:ascii="仿宋_GB2312" w:eastAsia="仿宋_GB2312"/>
          <w:color w:val="0D0D0D"/>
          <w:sz w:val="28"/>
          <w:szCs w:val="28"/>
        </w:rPr>
        <w:t>采用保护+农牧业发展方向的方式。</w:t>
      </w:r>
    </w:p>
    <w:p>
      <w:pPr>
        <w:spacing w:line="360" w:lineRule="auto"/>
        <w:ind w:firstLine="420"/>
        <w:rPr>
          <w:rFonts w:ascii="仿宋_GB2312" w:eastAsia="仿宋_GB2312"/>
          <w:color w:val="0D0D0D"/>
          <w:sz w:val="28"/>
          <w:szCs w:val="28"/>
        </w:rPr>
      </w:pPr>
      <w:r>
        <w:rPr>
          <w:rFonts w:hint="eastAsia" w:ascii="仿宋_GB2312" w:eastAsia="仿宋_GB2312"/>
          <w:color w:val="0D0D0D"/>
          <w:sz w:val="28"/>
          <w:szCs w:val="28"/>
        </w:rPr>
        <w:t>根据上述原则和指标，将青藏高原区域划分为两大类，即以生态保护为重点的区域、农业科适度发展的区域，分区系统和分区图如下：</w:t>
      </w:r>
    </w:p>
    <w:p>
      <w:pPr>
        <w:spacing w:line="360" w:lineRule="auto"/>
        <w:ind w:firstLine="420"/>
        <w:rPr>
          <w:rFonts w:ascii="仿宋" w:hAnsi="仿宋" w:eastAsia="仿宋" w:cs="Times New Roman"/>
          <w:sz w:val="24"/>
          <w:szCs w:val="24"/>
        </w:rPr>
      </w:pPr>
    </w:p>
    <w:p>
      <w:pPr>
        <w:jc w:val="center"/>
      </w:pPr>
      <w:r>
        <w:drawing>
          <wp:inline distT="0" distB="0" distL="0" distR="0">
            <wp:extent cx="5243195" cy="2797810"/>
            <wp:effectExtent l="0" t="0" r="0" b="2540"/>
            <wp:docPr id="1026" name="Picture 2" descr="C:\Users\lch\Desktop\青藏高原农业分区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lch\Desktop\青藏高原农业分区1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54844" cy="28044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18"/>
        </w:rPr>
      </w:pPr>
      <w:r>
        <w:rPr>
          <w:rFonts w:hint="eastAsia" w:ascii="黑体" w:hAnsi="黑体" w:eastAsia="黑体"/>
          <w:sz w:val="18"/>
        </w:rPr>
        <w:t>图1 青藏高原生态保护与农业调控分区图</w:t>
      </w:r>
    </w:p>
    <w:p>
      <w:pPr>
        <w:jc w:val="center"/>
        <w:rPr>
          <w:rFonts w:ascii="黑体" w:hAnsi="黑体" w:eastAsia="黑体"/>
          <w:sz w:val="18"/>
        </w:rPr>
      </w:pPr>
    </w:p>
    <w:p>
      <w:pPr>
        <w:spacing w:after="156" w:afterLines="50"/>
        <w:jc w:val="center"/>
        <w:rPr>
          <w:rFonts w:ascii="黑体" w:hAnsi="黑体" w:eastAsia="黑体"/>
          <w:sz w:val="18"/>
        </w:rPr>
      </w:pPr>
      <w:r>
        <w:rPr>
          <w:rFonts w:hint="eastAsia" w:ascii="黑体" w:hAnsi="黑体" w:eastAsia="黑体"/>
          <w:sz w:val="18"/>
        </w:rPr>
        <w:t>表1 青藏高原生态保护与农业调控分区结果</w:t>
      </w:r>
    </w:p>
    <w:tbl>
      <w:tblPr>
        <w:tblStyle w:val="5"/>
        <w:tblW w:w="955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2271"/>
        <w:gridCol w:w="568"/>
        <w:gridCol w:w="2692"/>
        <w:gridCol w:w="482"/>
        <w:gridCol w:w="32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1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藏中南农牧业适度发展区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3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横断山</w:t>
            </w:r>
            <w:r>
              <w:rPr>
                <w:rFonts w:hint="eastAsia"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区</w:t>
            </w: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农林牧业适度发展区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5.2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北部高原限牧小区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1.1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一江两河农牧小区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3.1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南部农林小区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5.3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诺尔盖草地限牧小区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1.2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唐古拉山南坡畜牧小区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3.2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中北部农牧小区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6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高原东北部河谷农业发展区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1.3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尼洋河农林牧小区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3.3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东部农林牧小区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6.1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共和盆地农牧小区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1.4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怒江源区畜牧小区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4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羌塘高原动物保护畜牧限控区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6.2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湟水河-甘南农牧小区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1.5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怒江上游农牧小区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4.1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羌塘南部限牧小区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27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7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327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柴达木盆地绿洲农业发展区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2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边疆带农牧业适度发展区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4.2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羌塘中部畜牧严控小区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7.1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盆地东部绿洲农业小区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2.1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边疆西北段畜牧小区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4.3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羌塘北部荒漠禁牧小区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7.2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绿洲西部荒漠农牧小区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2.2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边疆中段农牧小区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5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三江源区水源保护农牧业限控区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8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微软雅黑" w:cs="Times New Roman"/>
                <w:b/>
                <w:bCs/>
                <w:color w:val="000000"/>
                <w:kern w:val="24"/>
                <w:sz w:val="18"/>
                <w:szCs w:val="20"/>
              </w:rPr>
              <w:t>祁连山-青海湖动物保护农牧限控区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2.3</w:t>
            </w: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边疆东南段农林牧小区</w:t>
            </w: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5.1</w:t>
            </w: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南部农牧限控小区</w:t>
            </w: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8.1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祁连山限牧小区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34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</w:p>
        </w:tc>
        <w:tc>
          <w:tcPr>
            <w:tcW w:w="2271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</w:p>
        </w:tc>
        <w:tc>
          <w:tcPr>
            <w:tcW w:w="568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</w:p>
        </w:tc>
        <w:tc>
          <w:tcPr>
            <w:tcW w:w="269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</w:p>
        </w:tc>
        <w:tc>
          <w:tcPr>
            <w:tcW w:w="48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8.2</w:t>
            </w:r>
          </w:p>
        </w:tc>
        <w:tc>
          <w:tcPr>
            <w:tcW w:w="320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85" w:lineRule="atLeast"/>
              <w:jc w:val="left"/>
              <w:textAlignment w:val="center"/>
              <w:rPr>
                <w:rFonts w:ascii="Times New Roman" w:hAnsi="Times New Roman" w:eastAsia="宋体" w:cs="Times New Roman"/>
                <w:kern w:val="0"/>
                <w:sz w:val="18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24"/>
                <w:sz w:val="18"/>
                <w:szCs w:val="20"/>
              </w:rPr>
              <w:t>青海湖农牧限控小区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E1C"/>
    <w:rsid w:val="00063078"/>
    <w:rsid w:val="000F1764"/>
    <w:rsid w:val="0015262B"/>
    <w:rsid w:val="00293429"/>
    <w:rsid w:val="00480D32"/>
    <w:rsid w:val="004A7056"/>
    <w:rsid w:val="00556842"/>
    <w:rsid w:val="005849BA"/>
    <w:rsid w:val="00591DCE"/>
    <w:rsid w:val="005D08D9"/>
    <w:rsid w:val="005E0DA1"/>
    <w:rsid w:val="005E2CC4"/>
    <w:rsid w:val="005F3FD7"/>
    <w:rsid w:val="00606307"/>
    <w:rsid w:val="00630431"/>
    <w:rsid w:val="00697A76"/>
    <w:rsid w:val="007330DF"/>
    <w:rsid w:val="00981E60"/>
    <w:rsid w:val="00A45FA6"/>
    <w:rsid w:val="00AA37AC"/>
    <w:rsid w:val="00AF0BDB"/>
    <w:rsid w:val="00B20FB5"/>
    <w:rsid w:val="00B94E0D"/>
    <w:rsid w:val="00CA4203"/>
    <w:rsid w:val="00CA6504"/>
    <w:rsid w:val="00CC68ED"/>
    <w:rsid w:val="00CD5E1C"/>
    <w:rsid w:val="00CE5FF8"/>
    <w:rsid w:val="00D42E7A"/>
    <w:rsid w:val="00D6557B"/>
    <w:rsid w:val="00EB04E1"/>
    <w:rsid w:val="00EE6BF5"/>
    <w:rsid w:val="00F5021B"/>
    <w:rsid w:val="2CBE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tif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170</Words>
  <Characters>974</Characters>
  <Lines>8</Lines>
  <Paragraphs>2</Paragraphs>
  <TotalTime>1</TotalTime>
  <ScaleCrop>false</ScaleCrop>
  <LinksUpToDate>false</LinksUpToDate>
  <CharactersWithSpaces>1142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2020-01-13T07:49:00Z</dcterms:created>
  <dc:creator>LCH</dc:creator>
  <cp:lastModifiedBy>lyq</cp:lastModifiedBy>
  <dcterms:modified xsi:type="dcterms:W3CDTF">2020-01-13T08:06:37Z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