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CMIP3's projection of temperature and precipitation in Xinjiang (2010-2099)</w:t>
      </w:r>
    </w:p>
    <w:p>
      <w:r>
        <w:rPr>
          <w:sz w:val="32"/>
        </w:rPr>
        <w:t>1、Description</w:t>
      </w:r>
    </w:p>
    <w:p>
      <w:pPr>
        <w:ind w:firstLine="432"/>
      </w:pPr>
      <w:r>
        <w:rPr>
          <w:sz w:val="22"/>
        </w:rPr>
        <w:t>The GCMs dataset used in this dataset is CMIP3 comparison plan data (A1B (Medium Carbon Emissions, Global Common Development Scenarios that Focus on Economic Growth), A2 (High Carbon Emissions, Focus on Regional development scenarios for economic growth) and B1 (low carbon emissions, global common development scenarios that emphasize environmentally sustainable development) from the 24 GCM outputs in IPCC AR4 provided by PCMDI. This dataset uses the Delta method for downscaling, uses the 20C3M dataset from 1961 to 1990 as a reference, and uses the SRES dataset from 2010 to 2099 as the future scenario.</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Xinjiang Uygur Autonomous Region</w:t>
        <w:br/>
      </w:r>
      <w:r>
        <w:rPr>
          <w:sz w:val="22"/>
        </w:rPr>
        <w:t>Time：</w:t>
      </w:r>
      <w:r>
        <w:rPr>
          <w:sz w:val="22"/>
        </w:rPr>
        <w:t>2010-2099</w:t>
      </w:r>
    </w:p>
    <w:p>
      <w:r>
        <w:rPr>
          <w:sz w:val="32"/>
        </w:rPr>
        <w:t>3、Data details</w:t>
      </w:r>
    </w:p>
    <w:p>
      <w:pPr>
        <w:ind w:left="432"/>
      </w:pPr>
      <w:r>
        <w:rPr>
          <w:sz w:val="22"/>
        </w:rPr>
        <w:t>1.Scale：None</w:t>
      </w:r>
    </w:p>
    <w:p>
      <w:pPr>
        <w:ind w:left="432"/>
      </w:pPr>
      <w:r>
        <w:rPr>
          <w:sz w:val="22"/>
        </w:rPr>
        <w:t>2.Projection：None</w:t>
      </w:r>
    </w:p>
    <w:p>
      <w:pPr>
        <w:ind w:left="432"/>
      </w:pPr>
      <w:r>
        <w:rPr>
          <w:sz w:val="22"/>
        </w:rPr>
        <w:t>3.Filesize：1360.0MB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north：52.0</w:t>
            </w:r>
          </w:p>
        </w:tc>
        <w:tc>
          <w:tcPr>
            <w:tcW w:type="dxa" w:w="2880"/>
          </w:tcPr>
          <w:p>
            <w:r>
              <w:t>-</w:t>
            </w:r>
          </w:p>
        </w:tc>
      </w:tr>
      <w:tr>
        <w:tc>
          <w:tcPr>
            <w:tcW w:type="dxa" w:w="2880"/>
          </w:tcPr>
          <w:p>
            <w:r>
              <w:t>west：71.0</w:t>
            </w:r>
          </w:p>
        </w:tc>
        <w:tc>
          <w:tcPr>
            <w:tcW w:type="dxa" w:w="2880"/>
          </w:tcPr>
          <w:p>
            <w:r>
              <w:t>-</w:t>
            </w:r>
          </w:p>
        </w:tc>
        <w:tc>
          <w:tcPr>
            <w:tcW w:type="dxa" w:w="2880"/>
          </w:tcPr>
          <w:p>
            <w:r>
              <w:t>east：96.0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2010-01-07 08:00:00+00:00</w:t>
      </w:r>
      <w:r>
        <w:rPr>
          <w:sz w:val="22"/>
        </w:rPr>
        <w:t>--</w:t>
      </w:r>
      <w:r>
        <w:rPr>
          <w:sz w:val="22"/>
        </w:rPr>
        <w:t>2100-01-06 08:00:00+00:00</w:t>
      </w:r>
    </w:p>
    <w:p>
      <w:r>
        <w:rPr>
          <w:sz w:val="32"/>
        </w:rPr>
        <w:t>6、Reference method</w:t>
      </w:r>
    </w:p>
    <w:p>
      <w:pPr>
        <w:ind w:left="432"/>
      </w:pPr>
      <w:r>
        <w:rPr>
          <w:sz w:val="22"/>
        </w:rPr>
        <w:t xml:space="preserve">References to data: </w:t>
      </w:r>
    </w:p>
    <w:p>
      <w:pPr>
        <w:ind w:left="432" w:firstLine="432"/>
      </w:pPr>
      <w:r>
        <w:t>LI Lanhai, LI  Xuemei, Meng Xianyong, BAI  Lei, CHEN  Xi. The CMIP3's projection of temperature and precipitation in Xinjiang (2010-2099). A Big Earth Data Platform for Three Poles, doi:10.11888/Meteoro.tpdc.270568</w:t>
      </w:r>
      <w:r>
        <w:rPr>
          <w:sz w:val="22"/>
        </w:rPr>
        <w:t>2016</w:t>
      </w:r>
    </w:p>
    <w:p>
      <w:pPr>
        <w:ind w:left="432"/>
      </w:pPr>
      <w:r>
        <w:rPr>
          <w:sz w:val="22"/>
        </w:rPr>
        <w:t xml:space="preserve">References to articles: </w:t>
      </w:r>
    </w:p>
    <w:p>
      <w:pPr>
        <w:ind w:left="864"/>
      </w:pPr>
      <w:r>
        <w:t>李兰海, 白磊, 姚亚楠, &amp; 杨青. (2012). 基于ipcc情景下新疆地区未来气候变化的预估. 资源科学, 34(4), 602-612.</w:t>
        <w:br/>
        <w:br/>
      </w:r>
    </w:p>
    <w:p>
      <w:r>
        <w:rPr>
          <w:sz w:val="32"/>
        </w:rPr>
        <w:t>7、Supporting project information</w:t>
      </w:r>
    </w:p>
    <w:p>
      <w:r>
        <w:rPr>
          <w:sz w:val="32"/>
        </w:rPr>
        <w:t>8、Data resource provider</w:t>
      </w:r>
    </w:p>
    <w:p>
      <w:pPr>
        <w:ind w:left="432"/>
      </w:pPr>
      <w:r>
        <w:rPr>
          <w:sz w:val="22"/>
        </w:rPr>
        <w:t xml:space="preserve">name: </w:t>
      </w:r>
      <w:r>
        <w:rPr>
          <w:sz w:val="22"/>
        </w:rPr>
        <w:t>Meng Xianyong</w:t>
        <w:br/>
      </w:r>
      <w:r>
        <w:rPr>
          <w:sz w:val="22"/>
        </w:rPr>
        <w:t xml:space="preserve">unit: </w:t>
      </w:r>
      <w:r>
        <w:rPr>
          <w:sz w:val="22"/>
        </w:rPr>
        <w:t>College of Resources and Environment Sciences, China Agricultural University</w:t>
        <w:br/>
      </w:r>
      <w:r>
        <w:rPr>
          <w:sz w:val="22"/>
        </w:rPr>
        <w:t xml:space="preserve">email: </w:t>
      </w:r>
      <w:r>
        <w:rPr>
          <w:sz w:val="22"/>
        </w:rPr>
        <w:t>xymeng@cau.edu.cn</w:t>
        <w:br/>
        <w:br/>
      </w:r>
      <w:r>
        <w:rPr>
          <w:sz w:val="22"/>
        </w:rPr>
        <w:t xml:space="preserve">name: </w:t>
      </w:r>
      <w:r>
        <w:rPr>
          <w:sz w:val="22"/>
        </w:rPr>
        <w:t>BAI  Lei</w:t>
        <w:br/>
      </w:r>
      <w:r>
        <w:rPr>
          <w:sz w:val="22"/>
        </w:rPr>
        <w:t xml:space="preserve">unit: </w:t>
      </w:r>
      <w:r>
        <w:rPr>
          <w:sz w:val="22"/>
        </w:rPr>
        <w:br/>
      </w:r>
      <w:r>
        <w:rPr>
          <w:sz w:val="22"/>
        </w:rPr>
        <w:t xml:space="preserve">email: </w:t>
      </w:r>
      <w:r>
        <w:rPr>
          <w:sz w:val="22"/>
        </w:rPr>
        <w:t>caecar1986@qq.com</w:t>
        <w:br/>
        <w:br/>
      </w:r>
      <w:r>
        <w:rPr>
          <w:sz w:val="22"/>
        </w:rPr>
        <w:t xml:space="preserve">name: </w:t>
      </w:r>
      <w:r>
        <w:rPr>
          <w:sz w:val="22"/>
        </w:rPr>
        <w:t>CHEN  Xi</w:t>
        <w:br/>
      </w:r>
      <w:r>
        <w:rPr>
          <w:sz w:val="22"/>
        </w:rPr>
        <w:t xml:space="preserve">unit: </w:t>
      </w:r>
      <w:r>
        <w:rPr>
          <w:sz w:val="22"/>
        </w:rPr>
        <w:br/>
      </w:r>
      <w:r>
        <w:rPr>
          <w:sz w:val="22"/>
        </w:rPr>
        <w:t xml:space="preserve">email: </w:t>
      </w:r>
      <w:r>
        <w:rPr>
          <w:sz w:val="22"/>
        </w:rPr>
        <w:t>none</w:t>
        <w:br/>
        <w:br/>
      </w:r>
      <w:r>
        <w:rPr>
          <w:sz w:val="22"/>
        </w:rPr>
        <w:t xml:space="preserve">name: </w:t>
      </w:r>
      <w:r>
        <w:rPr>
          <w:sz w:val="22"/>
        </w:rPr>
        <w:t>LI  Xuemei</w:t>
        <w:br/>
      </w:r>
      <w:r>
        <w:rPr>
          <w:sz w:val="22"/>
        </w:rPr>
        <w:t xml:space="preserve">unit: </w:t>
      </w:r>
      <w:r>
        <w:rPr>
          <w:sz w:val="22"/>
        </w:rPr>
        <w:br/>
      </w:r>
      <w:r>
        <w:rPr>
          <w:sz w:val="22"/>
        </w:rPr>
        <w:t xml:space="preserve">email: </w:t>
      </w:r>
      <w:r>
        <w:rPr>
          <w:sz w:val="22"/>
        </w:rPr>
        <w:t>none</w:t>
        <w:br/>
        <w:br/>
      </w: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