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Hyperspectral remote sensing data of typical vegetation along Sichuan Tibet Railway (2019)</w:t>
      </w:r>
    </w:p>
    <w:p>
      <w:r>
        <w:rPr>
          <w:sz w:val="32"/>
        </w:rPr>
        <w:t>1、Description</w:t>
      </w:r>
    </w:p>
    <w:p>
      <w:pPr>
        <w:ind w:firstLine="432"/>
      </w:pPr>
      <w:r>
        <w:rPr>
          <w:sz w:val="22"/>
        </w:rPr>
        <w:t>This data set is hyperspectral observation data of typical vegetation along Sichuan Tibet Railway in September 2019, using the airborne spectrometer of Dajiang M600 resonon imaging system. Including the hyperspectral data observed in the grassland area of Lhasa in 2019, with its own latitude and longitude. The hyperspectral survey was mainly sunny. Before flight, whiteboard calibration was carried out; when data were collected, there was a target (that is, the standard reflective cloth suitable for the grass), which was used for spectral calibration; there were ground mark points (that is, letters with foam plates), and the longitude and latitude coordinates of each mark were recorded for geometric precise calibration. The DN value recorded by Hyperspectral camera of UAV can be converted into reflectivity by using Spectron Pro software. Hyperspectral data is used to extract spectral characteristics of different vegetation types, vegetation classification, inversion of vegetation coverage and so on.</w:t>
      </w:r>
    </w:p>
    <w:p>
      <w:r>
        <w:rPr>
          <w:sz w:val="32"/>
        </w:rPr>
        <w:t>2、Keywords</w:t>
      </w:r>
    </w:p>
    <w:p>
      <w:pPr>
        <w:ind w:left="432"/>
      </w:pPr>
      <w:r>
        <w:rPr>
          <w:sz w:val="22"/>
        </w:rPr>
        <w:t>Theme：</w:t>
      </w:r>
      <w:r>
        <w:rPr>
          <w:sz w:val="22"/>
        </w:rPr>
        <w:t>vegetation index</w:t>
      </w:r>
      <w:r>
        <w:t>,</w:t>
      </w:r>
      <w:r>
        <w:rPr>
          <w:sz w:val="22"/>
        </w:rPr>
        <w:t>Reflectivity</w:t>
      </w:r>
      <w:r>
        <w:t>,</w:t>
      </w:r>
      <w:r>
        <w:rPr>
          <w:sz w:val="22"/>
        </w:rPr>
        <w:t>Ground object spectral</w:t>
      </w:r>
      <w:r>
        <w:t>,</w:t>
      </w:r>
      <w:r>
        <w:rPr>
          <w:sz w:val="22"/>
        </w:rPr>
        <w:t>Vegetation</w:t>
      </w:r>
      <w:r>
        <w:t>,</w:t>
      </w:r>
      <w:r>
        <w:rPr>
          <w:sz w:val="22"/>
        </w:rPr>
        <w:t>Grassland</w:t>
      </w:r>
      <w:r>
        <w:t>,</w:t>
      </w:r>
      <w:r>
        <w:rPr>
          <w:sz w:val="22"/>
        </w:rPr>
        <w:t>Hyperspectral remote sensing</w:t>
      </w:r>
      <w:r>
        <w:t>,</w:t>
      </w:r>
      <w:r>
        <w:rPr>
          <w:sz w:val="22"/>
        </w:rPr>
        <w:t>Remote Sensing Technology</w:t>
        <w:br/>
      </w:r>
      <w:r>
        <w:rPr>
          <w:sz w:val="22"/>
        </w:rPr>
        <w:t>Discipline：</w:t>
      </w:r>
      <w:r>
        <w:rPr>
          <w:sz w:val="22"/>
        </w:rPr>
        <w:t>Terrestrial Surface</w:t>
      </w:r>
      <w:r>
        <w:t>,</w:t>
      </w:r>
      <w:r>
        <w:rPr>
          <w:sz w:val="22"/>
        </w:rPr>
        <w:t>Remote Sensing Technology</w:t>
        <w:br/>
      </w:r>
      <w:r>
        <w:rPr>
          <w:sz w:val="22"/>
        </w:rPr>
        <w:t>Places：</w:t>
      </w:r>
      <w:r>
        <w:rPr>
          <w:sz w:val="22"/>
        </w:rPr>
        <w:t>Bangda</w:t>
      </w:r>
      <w:r>
        <w:t xml:space="preserve">, </w:t>
      </w:r>
      <w:r>
        <w:rPr>
          <w:sz w:val="22"/>
        </w:rPr>
        <w:t>Tibetan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3.Filesize：3389.44MB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north：29.2</w:t>
            </w:r>
          </w:p>
        </w:tc>
        <w:tc>
          <w:tcPr>
            <w:tcW w:type="dxa" w:w="2880"/>
          </w:tcPr>
          <w:p>
            <w:r>
              <w:t>-</w:t>
            </w:r>
          </w:p>
        </w:tc>
      </w:tr>
      <w:tr>
        <w:tc>
          <w:tcPr>
            <w:tcW w:type="dxa" w:w="2880"/>
          </w:tcPr>
          <w:p>
            <w:r>
              <w:t>west：90.7</w:t>
            </w:r>
          </w:p>
        </w:tc>
        <w:tc>
          <w:tcPr>
            <w:tcW w:type="dxa" w:w="2880"/>
          </w:tcPr>
          <w:p>
            <w:r>
              <w:t>-</w:t>
            </w:r>
          </w:p>
        </w:tc>
        <w:tc>
          <w:tcPr>
            <w:tcW w:type="dxa" w:w="2880"/>
          </w:tcPr>
          <w:p>
            <w:r>
              <w:t>east：91.0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2019-09-09 16:00:00+00:00</w:t>
      </w:r>
      <w:r>
        <w:rPr>
          <w:sz w:val="22"/>
        </w:rPr>
        <w:t>--</w:t>
      </w:r>
      <w:r>
        <w:rPr>
          <w:sz w:val="22"/>
        </w:rPr>
        <w:t>2019-09-09 16:00:00+00:00</w:t>
      </w:r>
    </w:p>
    <w:p>
      <w:r>
        <w:rPr>
          <w:sz w:val="32"/>
        </w:rPr>
        <w:t>6、Reference method</w:t>
      </w:r>
    </w:p>
    <w:p>
      <w:pPr>
        <w:ind w:left="432"/>
      </w:pPr>
      <w:r>
        <w:rPr>
          <w:sz w:val="22"/>
        </w:rPr>
        <w:t xml:space="preserve">References to data: </w:t>
      </w:r>
    </w:p>
    <w:p>
      <w:pPr>
        <w:ind w:left="432" w:firstLine="432"/>
      </w:pPr>
      <w:r>
        <w:t>ZHOU   Guangsheng, JI   Yuhe, SONG   Xingyang, LV   Xiaomin. Hyperspectral remote sensing data of typical vegetation along Sichuan Tibet Railway (2019). A Big Earth Data Platform for Three Poles, doi:10.11888/Ecolo.tpdc.271238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ZHOU   Guangsheng</w:t>
        <w:br/>
      </w:r>
      <w:r>
        <w:rPr>
          <w:sz w:val="22"/>
        </w:rPr>
        <w:t xml:space="preserve">unit: </w:t>
      </w:r>
      <w:r>
        <w:rPr>
          <w:sz w:val="22"/>
        </w:rPr>
        <w:br/>
      </w:r>
      <w:r>
        <w:rPr>
          <w:sz w:val="22"/>
        </w:rPr>
        <w:t xml:space="preserve">email: </w:t>
      </w:r>
      <w:r>
        <w:rPr>
          <w:sz w:val="22"/>
        </w:rPr>
        <w:t>zhougs@cma.gov.cn</w:t>
        <w:br/>
        <w:br/>
      </w:r>
      <w:r>
        <w:rPr>
          <w:sz w:val="22"/>
        </w:rPr>
        <w:t xml:space="preserve">name: </w:t>
      </w:r>
      <w:r>
        <w:rPr>
          <w:sz w:val="22"/>
        </w:rPr>
        <w:t>JI   Yuhe</w:t>
        <w:br/>
      </w:r>
      <w:r>
        <w:rPr>
          <w:sz w:val="22"/>
        </w:rPr>
        <w:t xml:space="preserve">unit: </w:t>
      </w:r>
      <w:r>
        <w:rPr>
          <w:sz w:val="22"/>
        </w:rPr>
        <w:br/>
      </w:r>
      <w:r>
        <w:rPr>
          <w:sz w:val="22"/>
        </w:rPr>
        <w:t xml:space="preserve">email: </w:t>
      </w:r>
      <w:r>
        <w:rPr>
          <w:sz w:val="22"/>
        </w:rPr>
        <w:t>jiyh@cma.gov.cn</w:t>
        <w:br/>
        <w:br/>
      </w:r>
      <w:r>
        <w:rPr>
          <w:sz w:val="22"/>
        </w:rPr>
        <w:t xml:space="preserve">name: </w:t>
      </w:r>
      <w:r>
        <w:rPr>
          <w:sz w:val="22"/>
        </w:rPr>
        <w:t>LV   Xiaomin</w:t>
        <w:br/>
      </w:r>
      <w:r>
        <w:rPr>
          <w:sz w:val="22"/>
        </w:rPr>
        <w:t xml:space="preserve">unit: </w:t>
      </w:r>
      <w:r>
        <w:rPr>
          <w:sz w:val="22"/>
        </w:rPr>
        <w:br/>
      </w:r>
      <w:r>
        <w:rPr>
          <w:sz w:val="22"/>
        </w:rPr>
        <w:t xml:space="preserve">email: </w:t>
      </w:r>
      <w:r>
        <w:rPr>
          <w:sz w:val="22"/>
        </w:rPr>
        <w:t>lvxm@gov.cma.cn</w:t>
        <w:br/>
        <w:br/>
      </w:r>
      <w:r>
        <w:rPr>
          <w:sz w:val="22"/>
        </w:rPr>
        <w:t xml:space="preserve">name: </w:t>
      </w:r>
      <w:r>
        <w:rPr>
          <w:sz w:val="22"/>
        </w:rPr>
        <w:t>SONG   Xingyang</w:t>
        <w:br/>
      </w:r>
      <w:r>
        <w:rPr>
          <w:sz w:val="22"/>
        </w:rPr>
        <w:t xml:space="preserve">unit: </w:t>
      </w:r>
      <w:r>
        <w:rPr>
          <w:sz w:val="22"/>
        </w:rPr>
        <w:br/>
      </w:r>
      <w:r>
        <w:rPr>
          <w:sz w:val="22"/>
        </w:rPr>
        <w:t xml:space="preserve">email: </w:t>
      </w:r>
      <w:r>
        <w:rPr>
          <w:sz w:val="22"/>
        </w:rPr>
        <w:t>gsxingyang@163.com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