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heat wave risk assessment in Dhaka, Bangladesh, 2015</w:t>
      </w:r>
    </w:p>
    <w:p>
      <w:r>
        <w:rPr>
          <w:sz w:val="32"/>
        </w:rPr>
        <w:t>1、Description</w:t>
      </w:r>
    </w:p>
    <w:p>
      <w:pPr>
        <w:ind w:firstLine="432"/>
      </w:pPr>
      <w:r>
        <w:rPr>
          <w:sz w:val="22"/>
        </w:rPr>
        <w:t>The data set is a 2015 heat wave risk data set in Dhaka, Bangladesh, with a spatial resolution of 30m and a temporal resolution of year. Heat wave risk refers to the probability or loss possibility of harmful consequences caused by the interaction between heat wave hazard (possible heat wave events in the future), heat wave exposure (total population, livelihood and assets in the area where heat wave events may occur) and heat wave vulnerability (the tendency of the disaster bearing body to suffer adverse effects when affected by heat wave events) . The risk assessment method of heat wave is "hazard-exposure-vulnerability". The data set has been proved by experts, which can provide support for regional high temperature heat wave risk assessment.</w:t>
      </w:r>
    </w:p>
    <w:p>
      <w:r>
        <w:rPr>
          <w:sz w:val="32"/>
        </w:rPr>
        <w:t>2、Keywords</w:t>
      </w:r>
    </w:p>
    <w:p>
      <w:pPr>
        <w:ind w:left="432"/>
      </w:pPr>
      <w:r>
        <w:rPr>
          <w:sz w:val="22"/>
        </w:rPr>
        <w:t>Theme：</w:t>
      </w:r>
      <w:r>
        <w:rPr>
          <w:sz w:val="22"/>
        </w:rPr>
        <w:t>Natural Disaster</w:t>
      </w:r>
      <w:r>
        <w:t>,</w:t>
      </w:r>
      <w:r>
        <w:rPr>
          <w:sz w:val="22"/>
        </w:rPr>
        <w:t>Heat wave</w:t>
        <w:br/>
      </w:r>
      <w:r>
        <w:rPr>
          <w:sz w:val="22"/>
        </w:rPr>
        <w:t>Discipline：</w:t>
      </w:r>
      <w:r>
        <w:rPr>
          <w:sz w:val="22"/>
        </w:rPr>
        <w:t>Human-nature Relationship</w:t>
        <w:br/>
      </w:r>
      <w:r>
        <w:rPr>
          <w:sz w:val="22"/>
        </w:rPr>
        <w:t>Places：</w:t>
      </w:r>
      <w:r>
        <w:rPr>
          <w:sz w:val="22"/>
        </w:rPr>
        <w:t>Bangladesh</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north：24.04</w:t>
            </w:r>
          </w:p>
        </w:tc>
        <w:tc>
          <w:tcPr>
            <w:tcW w:type="dxa" w:w="2880"/>
          </w:tcPr>
          <w:p>
            <w:r>
              <w:t>-</w:t>
            </w:r>
          </w:p>
        </w:tc>
      </w:tr>
      <w:tr>
        <w:tc>
          <w:tcPr>
            <w:tcW w:type="dxa" w:w="2880"/>
          </w:tcPr>
          <w:p>
            <w:r>
              <w:t>west：89.49</w:t>
            </w:r>
          </w:p>
        </w:tc>
        <w:tc>
          <w:tcPr>
            <w:tcW w:type="dxa" w:w="2880"/>
          </w:tcPr>
          <w:p>
            <w:r>
              <w:t>-</w:t>
            </w:r>
          </w:p>
        </w:tc>
        <w:tc>
          <w:tcPr>
            <w:tcW w:type="dxa" w:w="2880"/>
          </w:tcPr>
          <w:p>
            <w:r>
              <w:t>east：90.74</w:t>
            </w:r>
          </w:p>
        </w:tc>
      </w:tr>
      <w:tr>
        <w:tc>
          <w:tcPr>
            <w:tcW w:type="dxa" w:w="2880"/>
          </w:tcPr>
          <w:p>
            <w:r>
              <w:t>-</w:t>
            </w:r>
          </w:p>
        </w:tc>
        <w:tc>
          <w:tcPr>
            <w:tcW w:type="dxa" w:w="2880"/>
          </w:tcPr>
          <w:p>
            <w:r>
              <w:t>south：22.96</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YIN Cong, YANG Fei. Data set of heat wave risk assessment in Dhaka, Bangladesh, 2015. A Big Earth Data Platform for Three Poles, doi:10.11888/Disas.tpdc.271122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YIN Cong</w:t>
        <w:br/>
      </w:r>
      <w:r>
        <w:rPr>
          <w:sz w:val="22"/>
        </w:rPr>
        <w:t xml:space="preserve">unit: </w:t>
      </w:r>
      <w:r>
        <w:rPr>
          <w:sz w:val="22"/>
        </w:rPr>
        <w:br/>
      </w:r>
      <w:r>
        <w:rPr>
          <w:sz w:val="22"/>
        </w:rPr>
        <w:t xml:space="preserve">email: </w:t>
      </w:r>
      <w:r>
        <w:rPr>
          <w:sz w:val="22"/>
        </w:rPr>
        <w:t>yinc.18s@igsnrr.ac.cn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