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Gridded precipitable water vapor over the Tibetan Plateau (1979-2017)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 : total column water / precipitable water;</w:t>
        <w:br/>
        <w:t>2) Data sources and processing methods: ECMWF-interm monthly mean analysis;</w:t>
        <w:br/>
        <w:t>3) Data quality description: time resolution: monthly, spatial resolution: 0.7°*0.7°;</w:t>
        <w:br/>
        <w:t>4) Data application results and prospects: this data can be used for analysis of water resources in the air.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Altitude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1979-2017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3.Filesize：4.27MB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1979-01-09 00:00:00+00:00</w:t>
      </w:r>
      <w:r>
        <w:rPr>
          <w:sz w:val="22"/>
        </w:rPr>
        <w:t>--</w:t>
      </w:r>
      <w:r>
        <w:rPr>
          <w:sz w:val="22"/>
        </w:rPr>
        <w:t>2017-12-09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YAN Hongru. Gridded precipitable water vapor over the Tibetan Plateau (1979-2017).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 Hongru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yanhr@lzu.edu.cn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