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Zhangye wetland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Zhangye wetland station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Zhangye wetland station, 2020). A Big Earth Data Platform for Three Poles, doi:10.11888/Geogra.tpdc.271437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