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places names dataset at 1:250,000 in Sanjiangyuan region (2015)</w:t>
      </w:r>
    </w:p>
    <w:p>
      <w:r>
        <w:rPr>
          <w:sz w:val="32"/>
        </w:rPr>
        <w:t>1、Description</w:t>
      </w:r>
    </w:p>
    <w:p>
      <w:pPr>
        <w:ind w:firstLine="432"/>
      </w:pPr>
      <w:r>
        <w:rPr>
          <w:sz w:val="22"/>
        </w:rPr>
        <w:t>This data comes from the National Geographic Information Resources Catalogue Service System, which was provided free to the public by the National Basic Geographic Information Center in November 2017. We have spliced and cut the source of the three rivers as a whole, so as to facilitate the use of the study of the source area of the three rivers. The data trend is 2015.</w:t>
        <w:br/>
        <w:t>This data set includes 1:250,000 residential place names (AANP) in Sanjiangyuan area, including administrative place names at all levels and urban and rural residential place names.</w:t>
        <w:br/>
        <w:t>Names and Definitions of Attribute Items of Residential Place Name Data (AANP):</w:t>
        <w:br/>
        <w:t>Attribute Item Description Fill in Example</w:t>
        <w:br/>
        <w:t>NAME Name Quanqu Village</w:t>
        <w:br/>
        <w:t>PINYIN Chinese Pinyin Quanqucun</w:t>
        <w:br/>
        <w:t>CLASS Geographical Name Classification Code AK</w:t>
        <w:br/>
        <w:t>GNID Place Name Code 632524000000</w:t>
        <w:br/>
        <w:t>XZNAME Township Name Ziketan Township</w:t>
      </w:r>
    </w:p>
    <w:p>
      <w:r>
        <w:rPr>
          <w:sz w:val="32"/>
        </w:rPr>
        <w:t>2、Keywords</w:t>
      </w:r>
    </w:p>
    <w:p>
      <w:pPr>
        <w:ind w:left="432"/>
      </w:pPr>
      <w:r>
        <w:rPr>
          <w:sz w:val="22"/>
        </w:rPr>
        <w:t>Theme：</w:t>
      </w:r>
      <w:r>
        <w:rPr>
          <w:sz w:val="22"/>
        </w:rPr>
        <w:t>Settlement</w:t>
        <w:br/>
      </w:r>
      <w:r>
        <w:rPr>
          <w:sz w:val="22"/>
        </w:rPr>
        <w:t>Discipline：</w:t>
      </w:r>
      <w:r>
        <w:rPr>
          <w:sz w:val="22"/>
        </w:rPr>
        <w:t>Human-nature Relationship</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3.Filesize：1.14MB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2015-01-09 16:00:00+00:00</w:t>
      </w:r>
      <w:r>
        <w:rPr>
          <w:sz w:val="22"/>
        </w:rPr>
        <w:t>--</w:t>
      </w:r>
      <w:r>
        <w:rPr>
          <w:sz w:val="22"/>
        </w:rPr>
        <w:t>2016-01-08 16:00:00+00:00</w:t>
      </w:r>
    </w:p>
    <w:p>
      <w:r>
        <w:rPr>
          <w:sz w:val="32"/>
        </w:rPr>
        <w:t>6、Reference method</w:t>
      </w:r>
    </w:p>
    <w:p>
      <w:pPr>
        <w:ind w:left="432"/>
      </w:pPr>
      <w:r>
        <w:rPr>
          <w:sz w:val="22"/>
        </w:rPr>
        <w:t xml:space="preserve">References to data: </w:t>
      </w:r>
    </w:p>
    <w:p>
      <w:pPr>
        <w:ind w:left="432" w:firstLine="432"/>
      </w:pPr>
      <w:r>
        <w:t xml:space="preserve">National Catalogue Service for Geographic Information. The places names dataset at 1:250,000 in Sanjiangyuan region (2015).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National Catalogue Service for Geographic Information</w:t>
        <w:br/>
      </w:r>
      <w:r>
        <w:rPr>
          <w:sz w:val="22"/>
        </w:rPr>
        <w:t xml:space="preserve">unit: </w:t>
      </w:r>
      <w:r>
        <w:rPr>
          <w:sz w:val="22"/>
        </w:rPr>
        <w:t>National Geomatics Center of China</w:t>
        <w:br/>
      </w:r>
      <w:r>
        <w:rPr>
          <w:sz w:val="22"/>
        </w:rPr>
        <w:t xml:space="preserve">email: </w:t>
      </w:r>
      <w:r>
        <w:rPr>
          <w:sz w:val="22"/>
        </w:rPr>
        <w:t>office@ngcc.cn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