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data of canopy photosynthesis measurements of desert plants (2013)</w:t>
      </w:r>
    </w:p>
    <w:p>
      <w:r>
        <w:rPr>
          <w:sz w:val="32"/>
        </w:rPr>
        <w:t>1、Description</w:t>
      </w:r>
    </w:p>
    <w:p>
      <w:pPr>
        <w:ind w:firstLine="432"/>
      </w:pPr>
      <w:r>
        <w:rPr>
          <w:sz w:val="22"/>
        </w:rPr>
        <w:t xml:space="preserve">In the middle of August 2013, photosynthesis of population was measured, and plant species: red sand. </w:t>
        <w:br/>
        <w:t>The group photosynthesis measurement system consists of li-8100 closed-circuit soil carbon flux automatic measurement system (li-cor, USA) and assimilation box designed and manufactured by Beijing ligotai science and Technology Co., Ltd. li-8100 is an instrument produced by li-cor company of USA for soil carbon flux measurement. The concentration of CO2 and H2O is measured by infrared gas analyzer. The length, width and height of assimilation boxes were all 50 cm. The assimilator is controlled by li-8100. After the measurement parameters are set, the instrument can run automatically.</w:t>
      </w:r>
    </w:p>
    <w:p>
      <w:r>
        <w:rPr>
          <w:sz w:val="32"/>
        </w:rPr>
        <w:t>2、Keywords</w:t>
      </w:r>
    </w:p>
    <w:p>
      <w:pPr>
        <w:ind w:left="432"/>
      </w:pPr>
      <w:r>
        <w:rPr>
          <w:sz w:val="22"/>
        </w:rPr>
        <w:t>Theme：</w:t>
      </w:r>
      <w:r>
        <w:rPr>
          <w:sz w:val="22"/>
        </w:rPr>
        <w:t>Photosynthesis</w:t>
      </w:r>
      <w:r>
        <w:t>,</w:t>
      </w:r>
      <w:r>
        <w:rPr>
          <w:sz w:val="22"/>
        </w:rPr>
        <w:t>Vegetation</w:t>
      </w:r>
      <w:r>
        <w:t>,</w:t>
      </w:r>
      <w:r>
        <w:rPr>
          <w:sz w:val="22"/>
        </w:rPr>
        <w:t>Desert plants</w:t>
        <w:br/>
      </w:r>
      <w:r>
        <w:rPr>
          <w:sz w:val="22"/>
        </w:rPr>
        <w:t>Discipline：</w:t>
      </w:r>
      <w:r>
        <w:rPr>
          <w:sz w:val="22"/>
        </w:rPr>
        <w:t>Terrestrial Surface</w:t>
        <w:br/>
      </w:r>
      <w:r>
        <w:rPr>
          <w:sz w:val="22"/>
        </w:rPr>
        <w:t>Places：</w:t>
      </w:r>
      <w:r>
        <w:rPr>
          <w:sz w:val="22"/>
        </w:rPr>
        <w:t>Heihe River Basin</w:t>
      </w:r>
      <w:r>
        <w:t xml:space="preserve">, </w:t>
      </w:r>
      <w:r>
        <w:rPr>
          <w:sz w:val="22"/>
        </w:rPr>
        <w:t>Middle and Lower Reaches</w:t>
        <w:br/>
      </w:r>
      <w:r>
        <w:rPr>
          <w:sz w:val="22"/>
        </w:rPr>
        <w:t>Time：</w:t>
      </w:r>
      <w:r>
        <w:rPr>
          <w:sz w:val="22"/>
        </w:rPr>
        <w:t>2013</w:t>
      </w:r>
    </w:p>
    <w:p>
      <w:r>
        <w:rPr>
          <w:sz w:val="32"/>
        </w:rPr>
        <w:t>3、Data details</w:t>
      </w:r>
    </w:p>
    <w:p>
      <w:pPr>
        <w:ind w:left="432"/>
      </w:pPr>
      <w:r>
        <w:rPr>
          <w:sz w:val="22"/>
        </w:rPr>
        <w:t>1.Scale：None</w:t>
      </w:r>
    </w:p>
    <w:p>
      <w:pPr>
        <w:ind w:left="432"/>
      </w:pPr>
      <w:r>
        <w:rPr>
          <w:sz w:val="22"/>
        </w:rPr>
        <w:t>2.Projection：None</w:t>
      </w:r>
    </w:p>
    <w:p>
      <w:pPr>
        <w:ind w:left="432"/>
      </w:pPr>
      <w:r>
        <w:rPr>
          <w:sz w:val="22"/>
        </w:rPr>
        <w:t>3.Filesize：2.8MB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north：42.1147</w:t>
            </w:r>
          </w:p>
        </w:tc>
        <w:tc>
          <w:tcPr>
            <w:tcW w:type="dxa" w:w="2880"/>
          </w:tcPr>
          <w:p>
            <w:r>
              <w:t>-</w:t>
            </w:r>
          </w:p>
        </w:tc>
      </w:tr>
      <w:tr>
        <w:tc>
          <w:tcPr>
            <w:tcW w:type="dxa" w:w="2880"/>
          </w:tcPr>
          <w:p>
            <w:r>
              <w:t>west：99.7528</w:t>
            </w:r>
          </w:p>
        </w:tc>
        <w:tc>
          <w:tcPr>
            <w:tcW w:type="dxa" w:w="2880"/>
          </w:tcPr>
          <w:p>
            <w:r>
              <w:t>-</w:t>
            </w:r>
          </w:p>
        </w:tc>
        <w:tc>
          <w:tcPr>
            <w:tcW w:type="dxa" w:w="2880"/>
          </w:tcPr>
          <w:p>
            <w:r>
              <w:t>east：101.2831</w:t>
            </w:r>
          </w:p>
        </w:tc>
      </w:tr>
      <w:tr>
        <w:tc>
          <w:tcPr>
            <w:tcW w:type="dxa" w:w="2880"/>
          </w:tcPr>
          <w:p>
            <w:r>
              <w:t>-</w:t>
            </w:r>
          </w:p>
        </w:tc>
        <w:tc>
          <w:tcPr>
            <w:tcW w:type="dxa" w:w="2880"/>
          </w:tcPr>
          <w:p>
            <w:r>
              <w:t>south：38.7069</w:t>
            </w:r>
          </w:p>
        </w:tc>
        <w:tc>
          <w:tcPr>
            <w:tcW w:type="dxa" w:w="2880"/>
          </w:tcPr>
          <w:p>
            <w:r>
              <w:t>-</w:t>
            </w:r>
          </w:p>
        </w:tc>
      </w:tr>
    </w:tbl>
    <w:p>
      <w:r>
        <w:rPr>
          <w:sz w:val="32"/>
        </w:rPr>
        <w:t>5、Time frame:</w:t>
      </w:r>
      <w:r>
        <w:rPr>
          <w:sz w:val="22"/>
        </w:rPr>
        <w:t>2013-08-07 18:49:44+00:00</w:t>
      </w:r>
      <w:r>
        <w:rPr>
          <w:sz w:val="22"/>
        </w:rPr>
        <w:t>--</w:t>
      </w:r>
      <w:r>
        <w:rPr>
          <w:sz w:val="22"/>
        </w:rPr>
        <w:t>2013-09-07 18:49:44+00:00</w:t>
      </w:r>
    </w:p>
    <w:p>
      <w:r>
        <w:rPr>
          <w:sz w:val="32"/>
        </w:rPr>
        <w:t>6、Reference method</w:t>
      </w:r>
    </w:p>
    <w:p>
      <w:pPr>
        <w:ind w:left="432"/>
      </w:pPr>
      <w:r>
        <w:rPr>
          <w:sz w:val="22"/>
        </w:rPr>
        <w:t xml:space="preserve">References to data: </w:t>
      </w:r>
    </w:p>
    <w:p>
      <w:pPr>
        <w:ind w:left="432" w:firstLine="432"/>
      </w:pPr>
      <w:r>
        <w:t>SU Peixi. The data of canopy photosynthesis measurements of desert plants (2013). A Big Earth Data Platform for Three Poles, doi:10.3972/heihe.213.2013.db</w:t>
      </w:r>
      <w:r>
        <w:rPr>
          <w:sz w:val="22"/>
        </w:rPr>
        <w:t>2014</w:t>
      </w:r>
    </w:p>
    <w:p>
      <w:pPr>
        <w:ind w:left="432"/>
      </w:pPr>
      <w:r>
        <w:rPr>
          <w:sz w:val="22"/>
        </w:rPr>
        <w:t xml:space="preserve">References to articles: </w:t>
      </w:r>
    </w:p>
    <w:p>
      <w:pPr>
        <w:ind w:left="864"/>
      </w:pPr>
      <w:r>
        <w:t>高松, 苏培玺, 严巧娣. 荒漠植物梭梭群体和叶片水平气体交换对不同土壤水分的响应[J]. 中国科学:生命科学. 2011(03): 226-237</w:t>
        <w:br/>
        <w:br/>
      </w:r>
    </w:p>
    <w:p>
      <w:r>
        <w:rPr>
          <w:sz w:val="32"/>
        </w:rPr>
        <w:t>7、Supporting project information</w:t>
      </w:r>
    </w:p>
    <w:p>
      <w:pPr>
        <w:ind w:left="432"/>
      </w:pPr>
      <w:r>
        <w:rPr>
          <w:sz w:val="22"/>
        </w:rPr>
        <w:t>Water use efficiency and related regulation mechanisms of desert vegetation in different scales</w:t>
        <w:br/>
      </w:r>
    </w:p>
    <w:p>
      <w:r>
        <w:rPr>
          <w:sz w:val="32"/>
        </w:rPr>
        <w:t>8、Data resource provider</w:t>
      </w:r>
    </w:p>
    <w:p>
      <w:pPr>
        <w:ind w:left="432"/>
      </w:pPr>
      <w:r>
        <w:rPr>
          <w:sz w:val="22"/>
        </w:rPr>
        <w:t xml:space="preserve">name: </w:t>
      </w:r>
      <w:r>
        <w:rPr>
          <w:sz w:val="22"/>
        </w:rPr>
        <w:t>SU Peixi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supx@lzb.ac.cn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