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 arc-second DEM data of the Heihe River Basin (2009)</w:t>
      </w:r>
    </w:p>
    <w:p>
      <w:r>
        <w:rPr>
          <w:sz w:val="32"/>
        </w:rPr>
        <w:t>1、Description</w:t>
      </w:r>
    </w:p>
    <w:p>
      <w:pPr>
        <w:ind w:firstLine="432"/>
      </w:pPr>
      <w:r>
        <w:rPr>
          <w:sz w:val="22"/>
        </w:rPr>
        <w:t>This data is based on the DEM data generated by 1:250,000 digital contour lines and elevation points in China released by national basic geographic information center, and the DEM data set of heihe river basin is generated by the nearest neighbor method resampling method of ARCGIS spatial analysis module with a spatial resolution of 30 SEC.</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3.Filesize：0.75MB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2009-01-14 18:49:35+00:00</w:t>
      </w:r>
      <w:r>
        <w:rPr>
          <w:sz w:val="22"/>
        </w:rPr>
        <w:t>--</w:t>
      </w:r>
      <w:r>
        <w:rPr>
          <w:sz w:val="22"/>
        </w:rPr>
        <w:t>2010-01-13 18:49:35+00:00</w:t>
      </w:r>
    </w:p>
    <w:p>
      <w:r>
        <w:rPr>
          <w:sz w:val="32"/>
        </w:rPr>
        <w:t>6、Reference method</w:t>
      </w:r>
    </w:p>
    <w:p>
      <w:pPr>
        <w:ind w:left="432"/>
      </w:pPr>
      <w:r>
        <w:rPr>
          <w:sz w:val="22"/>
        </w:rPr>
        <w:t xml:space="preserve">References to data: </w:t>
      </w:r>
    </w:p>
    <w:p>
      <w:pPr>
        <w:ind w:left="432" w:firstLine="432"/>
      </w:pPr>
      <w:r>
        <w:t xml:space="preserve">National Basic Geographic Information Center. 30 arc-second DEM data of the Heihe River Basin (2009).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