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 use scenarios of the Heihe River Basin (2020-2030)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of water use scenario analysis in heihe river basin is mainly used in water right management model.</w:t>
        <w:br/>
        <w:t>Space scope: sunan county, ganzhou district, minle county, linze county, gaotai county, shandan county, jinta county, ejin na, suzhou district, jiayuguan;</w:t>
        <w:br/>
        <w:t>Time frames: 2020 and 2030</w:t>
        <w:br/>
        <w:t>Data content: forecast water consumption (tons)</w:t>
        <w:br/>
        <w:t>Number of transfers: 9kb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Resources</w:t>
      </w:r>
      <w:r>
        <w:t>,</w:t>
      </w:r>
      <w:r>
        <w:rPr>
          <w:sz w:val="22"/>
        </w:rPr>
        <w:t>Water withdrawal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2020-2030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1.Scale：1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2020-07-10 01:00:00+00:00</w:t>
      </w:r>
      <w:r>
        <w:rPr>
          <w:sz w:val="22"/>
        </w:rPr>
        <w:t>--</w:t>
      </w:r>
      <w:r>
        <w:rPr>
          <w:sz w:val="22"/>
        </w:rPr>
        <w:t>2031-07-10 08:09:00+00:00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Zhongjing. Water use scenarios of the Heihe River Basin (2020-2030). A Big Earth Data Platform for Three Poles, doi:10.11888/Hydro.tpdc.270851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Wang, Z. , Zhu, J. , &amp; Zheng, H. . (2015). Improvement of duration-based water rights management with optimal water intake on/off events. Water Resources Management, 29(8), 2927-2945.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WANG Zhongjing</w:t>
        <w:br/>
      </w:r>
      <w:r>
        <w:rPr>
          <w:sz w:val="22"/>
        </w:rPr>
        <w:t xml:space="preserve">unit: </w:t>
      </w:r>
      <w:r>
        <w:rPr>
          <w:sz w:val="22"/>
        </w:rPr>
        <w:t>Tsinghua University</w:t>
        <w:br/>
      </w:r>
      <w:r>
        <w:rPr>
          <w:sz w:val="22"/>
        </w:rPr>
        <w:t xml:space="preserve">email: </w:t>
      </w:r>
      <w:r>
        <w:rPr>
          <w:sz w:val="22"/>
        </w:rPr>
        <w:t>zj.wang@tsinghua.edu.cn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