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Vegetation Height product in the middle of the Heihe River Basin on July. 19, 2012</w:t>
      </w:r>
    </w:p>
    <w:p>
      <w:r>
        <w:rPr>
          <w:sz w:val="32"/>
        </w:rPr>
        <w:t>1、Description</w:t>
      </w:r>
    </w:p>
    <w:p>
      <w:pPr>
        <w:ind w:firstLine="432"/>
      </w:pPr>
      <w:r>
        <w:rPr>
          <w:sz w:val="22"/>
        </w:rPr>
        <w:t>In July 19, 2012  (UTC+8), the airborne LIDAR data is acquired in the foci area in the Heihe,middle reaches, which can provide high spatial resolution (m) and high precision (20 cm) of the surface elevation information. Based on airborne LIDAR data processing, the land surface DEM, DSM and point cloud density map were generated. By subtracting DSM and DEM directly, a Vegetation height product in the middle reaches of the Heihe River Basin was obtained. The product overall accuracy is 88%.</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2012-07-19</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3.Filesize：12.0MB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east：100.5</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2018-11-23 02:48:52+00:00</w:t>
      </w:r>
      <w:r>
        <w:rPr>
          <w:sz w:val="22"/>
        </w:rPr>
        <w:t>--</w:t>
      </w:r>
      <w:r>
        <w:rPr>
          <w:sz w:val="22"/>
        </w:rPr>
        <w:t>2018-11-23 02:48:52+00:00</w:t>
      </w:r>
    </w:p>
    <w:p>
      <w:r>
        <w:rPr>
          <w:sz w:val="32"/>
        </w:rPr>
        <w:t>6、Reference method</w:t>
      </w:r>
    </w:p>
    <w:p>
      <w:pPr>
        <w:ind w:left="432"/>
      </w:pPr>
      <w:r>
        <w:rPr>
          <w:sz w:val="22"/>
        </w:rPr>
        <w:t xml:space="preserve">References to data: </w:t>
      </w:r>
    </w:p>
    <w:p>
      <w:pPr>
        <w:ind w:left="432" w:firstLine="432"/>
      </w:pPr>
      <w:r>
        <w:t>Wen Jianguang. HiWATER: Vegetation Height product in the middle of the Heihe River Basin on July. 19, 2012. A Big Earth Data Platform for Three Poles, doi:10.3972/hiwater.172.2014.db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