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Night light data on the Tibetan Plateau (2000, 2005, 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include the night light data of Tibetan Plateau with a spatial resolution of 1km*1km, a temporal resolution of 5 years and a time coverage of 2000, 2005 and 2010.The data came from Version 4 dmsp-ols products. DMSP/OLS sensors took a unique approach to collect radiation signals generated by night lights and firelight.DMSP/OLS sensors, working at night, can detect low-intensity lights emitted by urban lights, even small-scale residential areas and traffic flows, and distinguish them from dark rural backgrounds.Therefore, DMSP/OLS nighttime light images can be used as a representation of human activities and become a good data source for human activity monitoring and research.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Night light</w:t>
      </w:r>
      <w:r>
        <w:t>,</w:t>
      </w:r>
      <w:r>
        <w:rPr>
          <w:sz w:val="22"/>
        </w:rPr>
        <w:t>Human-nature Remote Sensing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3.Filesize：196.0MB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FANG Huajun. Night light data on the Tibetan Plateau (2000, 2005, 2010).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FANG Huajun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fanghj@igsnrr.ac.cn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