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flux observation matrix (No.2 eddy covariance system) of the multi-scale observation experiment on evapotranspiration over heterogeneous land surfaces (2012)</w:t>
      </w:r>
    </w:p>
    <w:p>
      <w:r>
        <w:rPr>
          <w:sz w:val="32"/>
        </w:rPr>
        <w:t>1、Description</w:t>
      </w:r>
    </w:p>
    <w:p>
      <w:pPr>
        <w:ind w:firstLine="432"/>
      </w:pPr>
      <w:r>
        <w:rPr>
          <w:sz w:val="22"/>
        </w:rPr>
        <w:t>This dataset contains the flux measurements from site No.2 eddy covariance system (EC) in the flux observation matrix from 3 June to 21 September, 2012. The site (100.35406° E, 38.88695° N) was located in a cropland (maize surface) in Yingke irrigation district, which is near Zhangye, Gansu Province. The elevation is 1559.09 m. The EC was installed at a height of 3.7 m; the sampling rate was 10 Hz. The sonic anemometer faced north, and the separation distance between the sonic anemometer and the CO2/H2O gas analyzer (CSAT3&amp;Li7500) was 0.15 m.</w:t>
        <w:br/>
        <w:t>Raw data acquired at 10 Hz were processed using the Edire post-processing software (University of Edinburgh, http://www.geos.ed.ac.uk/abs/research/micromet/EdiRe/), including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Moreover, the observation data quality was divided into three classes according to the quality assessment method of stationarity (Δst) and the integral turbulent characteristics test (ITC), which was proposed by Foken and Wichura [1996]: class 1 (level 0: Δst&lt;30 and ITC&lt;30), class 2 (level 1: Δst&lt;100 and ITC&lt;100), and class 3 (level 2: Δst&gt;100 and ITC&gt;100), representing high-, medium-, and low-quality data, respectively. In addition to the above processing steps, the half-hourly flux data were screened in a four-step procedure: (1) data from periods of sensor malfunction were rejected; (2) data before or after 1 h of precipitation were rejected; (3) incomplete 30 min data were rejected when the missing data constituted more than 3% of the 30 min raw record; and (4) data were rejected at night when the friction velocity (u*) was less than 0.1 m/s. There were 48 records per day; the missing data were replaced with -6999. Moreover, suspicious data were marked in red.</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*.xlsx format.</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Heat flux</w:t>
      </w:r>
      <w:r>
        <w:t>,</w:t>
      </w:r>
      <w:r>
        <w:rPr>
          <w:sz w:val="22"/>
        </w:rPr>
        <w:t>Radiation</w:t>
      </w:r>
      <w:r>
        <w:t>,</w:t>
      </w:r>
      <w:r>
        <w:rPr>
          <w:sz w:val="22"/>
        </w:rPr>
        <w:t>Winds</w:t>
      </w:r>
      <w:r>
        <w:t>,</w:t>
      </w:r>
      <w:r>
        <w:rPr>
          <w:sz w:val="22"/>
        </w:rPr>
        <w:t>Wind direction</w:t>
      </w:r>
      <w:r>
        <w:t>,</w:t>
      </w:r>
      <w:r>
        <w:rPr>
          <w:sz w:val="22"/>
        </w:rPr>
        <w:t>wind speed</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2012-06-03 to 2012-09-21</w:t>
      </w:r>
      <w:r>
        <w:t xml:space="preserve">, </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3.Filesize：0.68MB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north：38.88695</w:t>
            </w:r>
          </w:p>
        </w:tc>
        <w:tc>
          <w:tcPr>
            <w:tcW w:type="dxa" w:w="2880"/>
          </w:tcPr>
          <w:p>
            <w:r>
              <w:t>-</w:t>
            </w:r>
          </w:p>
        </w:tc>
      </w:tr>
      <w:tr>
        <w:tc>
          <w:tcPr>
            <w:tcW w:type="dxa" w:w="2880"/>
          </w:tcPr>
          <w:p>
            <w:r>
              <w:t>west：100.35406</w:t>
            </w:r>
          </w:p>
        </w:tc>
        <w:tc>
          <w:tcPr>
            <w:tcW w:type="dxa" w:w="2880"/>
          </w:tcPr>
          <w:p>
            <w:r>
              <w:t>-</w:t>
            </w:r>
          </w:p>
        </w:tc>
        <w:tc>
          <w:tcPr>
            <w:tcW w:type="dxa" w:w="2880"/>
          </w:tcPr>
          <w:p>
            <w:r>
              <w:t>east：100.35406</w:t>
            </w:r>
          </w:p>
        </w:tc>
      </w:tr>
      <w:tr>
        <w:tc>
          <w:tcPr>
            <w:tcW w:type="dxa" w:w="2880"/>
          </w:tcPr>
          <w:p>
            <w:r>
              <w:t>-</w:t>
            </w:r>
          </w:p>
        </w:tc>
        <w:tc>
          <w:tcPr>
            <w:tcW w:type="dxa" w:w="2880"/>
          </w:tcPr>
          <w:p>
            <w:r>
              <w:t>south：38.88695</w:t>
            </w:r>
          </w:p>
        </w:tc>
        <w:tc>
          <w:tcPr>
            <w:tcW w:type="dxa" w:w="2880"/>
          </w:tcPr>
          <w:p>
            <w:r>
              <w:t>-</w:t>
            </w:r>
          </w:p>
        </w:tc>
      </w:tr>
    </w:tbl>
    <w:p>
      <w:r>
        <w:rPr>
          <w:sz w:val="32"/>
        </w:rPr>
        <w:t>5、Time frame:</w:t>
      </w:r>
      <w:r>
        <w:rPr>
          <w:sz w:val="22"/>
        </w:rPr>
        <w:t>2012-06-10 10:55:00+00:00</w:t>
      </w:r>
      <w:r>
        <w:rPr>
          <w:sz w:val="22"/>
        </w:rPr>
        <w:t>--</w:t>
      </w:r>
      <w:r>
        <w:rPr>
          <w:sz w:val="22"/>
        </w:rPr>
        <w:t>2012-09-28 10:55:00+00:00</w:t>
      </w:r>
    </w:p>
    <w:p>
      <w:r>
        <w:rPr>
          <w:sz w:val="32"/>
        </w:rPr>
        <w:t>6、Reference method</w:t>
      </w:r>
    </w:p>
    <w:p>
      <w:pPr>
        <w:ind w:left="432"/>
      </w:pPr>
      <w:r>
        <w:rPr>
          <w:sz w:val="22"/>
        </w:rPr>
        <w:t xml:space="preserve">References to data: </w:t>
      </w:r>
    </w:p>
    <w:p>
      <w:pPr>
        <w:ind w:left="432" w:firstLine="432"/>
      </w:pPr>
      <w:r>
        <w:t>LI Xin, LIU Shaomin, XU Ziwei. HiWATER: Dataset of flux observation matrix (No.2 eddy covariance system) of the multi-scale observation experiment on evapotranspiration over heterogeneous land surfaces (2012). A Big Earth Data Platform for Three Poles, doi:10.3972/hiwater.081.2013.db</w:t>
      </w:r>
      <w:r>
        <w:rPr>
          <w:sz w:val="22"/>
        </w:rPr>
        <w:t>2016</w:t>
      </w:r>
    </w:p>
    <w:p>
      <w:pPr>
        <w:ind w:left="432"/>
      </w:pPr>
      <w:r>
        <w:rPr>
          <w:sz w:val="22"/>
        </w:rPr>
        <w:t xml:space="preserve">References to articles: </w:t>
      </w:r>
    </w:p>
    <w:p>
      <w:pPr>
        <w:ind w:left="864"/>
      </w:pPr>
      <w:r>
        <w:t>Liu, S.M., Xu, Z.W., Song, L.S., Zhao, Q.Y., Ge, Y., Xu, T.R., Ma, Y.F., Zhu, Z.L., Jia, Z.Z., Zhang, F. (2016). Upscaling evapotranspiration measurements from multi-site to the satellite pixel scale over heterogeneous land surfaces. Agricultural and Forest Meteorology, 230-231, 97-113. doi:10.1016/j.agrformet.2016.04.008.</w:t>
        <w:br/>
        <w:br/>
      </w:r>
      <w:r>
        <w:t>Xu, Z.W., Liu, S.M., Li, X., Shi, S.J., Wang, J.M., Zhu, Z.L., Xu, T.R., Wang, W.Z., &amp; Ma, M.G. (2013). Intercomparison of surface energy flux measurement systems used during the HiWATER-MUSOEXE. Journal of Geophysical Research, 118, 13140-13157, doi:10.1002/2013JD020260.</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